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1A9BA8" w14:textId="77777777" w:rsidR="00921DF9" w:rsidRDefault="00921DF9" w:rsidP="00921DF9">
      <w:pPr>
        <w:jc w:val="center"/>
        <w:rPr>
          <w:rFonts w:cs="Times New Roman"/>
          <w:szCs w:val="24"/>
        </w:rPr>
      </w:pPr>
      <w:r>
        <w:rPr>
          <w:rFonts w:cs="Times New Roman"/>
          <w:szCs w:val="24"/>
        </w:rPr>
        <w:t>UNITED STATES DISTRICT COURT</w:t>
      </w:r>
    </w:p>
    <w:p w14:paraId="3FD25160" w14:textId="77777777" w:rsidR="00921DF9" w:rsidRDefault="00921DF9" w:rsidP="00921DF9">
      <w:pPr>
        <w:jc w:val="center"/>
        <w:rPr>
          <w:rFonts w:cs="Times New Roman"/>
          <w:szCs w:val="24"/>
        </w:rPr>
      </w:pPr>
      <w:r>
        <w:rPr>
          <w:rFonts w:cs="Times New Roman"/>
          <w:szCs w:val="24"/>
        </w:rPr>
        <w:t>DISTRICT OF MOOT</w:t>
      </w:r>
    </w:p>
    <w:tbl>
      <w:tblPr>
        <w:tblStyle w:val="LightShading"/>
        <w:tblW w:w="0" w:type="auto"/>
        <w:tblLook w:val="04A0" w:firstRow="1" w:lastRow="0" w:firstColumn="1" w:lastColumn="0" w:noHBand="0" w:noVBand="1"/>
      </w:tblPr>
      <w:tblGrid>
        <w:gridCol w:w="4788"/>
        <w:gridCol w:w="4788"/>
      </w:tblGrid>
      <w:tr w:rsidR="00921DF9" w14:paraId="3EBC1387" w14:textId="77777777" w:rsidTr="00EF3D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0288A572" w14:textId="77777777" w:rsidR="00921DF9" w:rsidRPr="006C70A5" w:rsidRDefault="00921DF9" w:rsidP="00EF3DB7">
            <w:pPr>
              <w:rPr>
                <w:rFonts w:ascii="Times New Roman" w:hAnsi="Times New Roman" w:cs="Times New Roman"/>
                <w:b w:val="0"/>
                <w:sz w:val="24"/>
                <w:szCs w:val="24"/>
              </w:rPr>
            </w:pPr>
            <w:r w:rsidRPr="006C70A5">
              <w:rPr>
                <w:rFonts w:ascii="Times New Roman" w:hAnsi="Times New Roman" w:cs="Times New Roman"/>
                <w:sz w:val="24"/>
                <w:szCs w:val="24"/>
              </w:rPr>
              <w:t>OGS TV, Inc.</w:t>
            </w:r>
          </w:p>
          <w:p w14:paraId="4F3FCA86" w14:textId="77777777" w:rsidR="00921DF9" w:rsidRPr="006C70A5" w:rsidRDefault="00921DF9" w:rsidP="00EF3DB7">
            <w:pPr>
              <w:jc w:val="center"/>
              <w:rPr>
                <w:rFonts w:ascii="Times New Roman" w:hAnsi="Times New Roman" w:cs="Times New Roman"/>
                <w:b w:val="0"/>
                <w:sz w:val="24"/>
                <w:szCs w:val="24"/>
              </w:rPr>
            </w:pPr>
          </w:p>
          <w:p w14:paraId="5D4954CA" w14:textId="77777777" w:rsidR="00921DF9" w:rsidRPr="006C70A5" w:rsidRDefault="00921DF9" w:rsidP="00EF3DB7">
            <w:pPr>
              <w:jc w:val="right"/>
              <w:rPr>
                <w:rFonts w:ascii="Times New Roman" w:hAnsi="Times New Roman" w:cs="Times New Roman"/>
                <w:b w:val="0"/>
                <w:sz w:val="24"/>
                <w:szCs w:val="24"/>
              </w:rPr>
            </w:pPr>
            <w:r w:rsidRPr="006C70A5">
              <w:rPr>
                <w:rFonts w:ascii="Times New Roman" w:hAnsi="Times New Roman" w:cs="Times New Roman"/>
                <w:sz w:val="24"/>
                <w:szCs w:val="24"/>
              </w:rPr>
              <w:t>Plaintiff,</w:t>
            </w:r>
          </w:p>
          <w:p w14:paraId="6146BF9E" w14:textId="77777777" w:rsidR="00921DF9" w:rsidRPr="006C70A5" w:rsidRDefault="00921DF9" w:rsidP="00EF3DB7">
            <w:pPr>
              <w:jc w:val="right"/>
              <w:rPr>
                <w:rFonts w:ascii="Times New Roman" w:hAnsi="Times New Roman" w:cs="Times New Roman"/>
                <w:b w:val="0"/>
                <w:sz w:val="24"/>
                <w:szCs w:val="24"/>
              </w:rPr>
            </w:pPr>
          </w:p>
          <w:p w14:paraId="7232025D" w14:textId="77777777" w:rsidR="00921DF9" w:rsidRPr="006C70A5" w:rsidRDefault="00921DF9" w:rsidP="00EF3DB7">
            <w:pPr>
              <w:rPr>
                <w:rFonts w:ascii="Times New Roman" w:hAnsi="Times New Roman" w:cs="Times New Roman"/>
                <w:b w:val="0"/>
                <w:sz w:val="24"/>
                <w:szCs w:val="24"/>
              </w:rPr>
            </w:pPr>
            <w:r w:rsidRPr="006C70A5">
              <w:rPr>
                <w:rFonts w:ascii="Times New Roman" w:hAnsi="Times New Roman" w:cs="Times New Roman"/>
                <w:sz w:val="24"/>
                <w:szCs w:val="24"/>
              </w:rPr>
              <w:t xml:space="preserve">vs. </w:t>
            </w:r>
          </w:p>
          <w:p w14:paraId="03918E31" w14:textId="77777777" w:rsidR="00921DF9" w:rsidRPr="006C70A5" w:rsidRDefault="00921DF9" w:rsidP="00EF3DB7">
            <w:pPr>
              <w:rPr>
                <w:rFonts w:ascii="Times New Roman" w:hAnsi="Times New Roman" w:cs="Times New Roman"/>
                <w:b w:val="0"/>
                <w:sz w:val="24"/>
                <w:szCs w:val="24"/>
              </w:rPr>
            </w:pPr>
          </w:p>
          <w:p w14:paraId="0208B091" w14:textId="77777777" w:rsidR="00921DF9" w:rsidRPr="006C70A5" w:rsidRDefault="00921DF9" w:rsidP="00EF3DB7">
            <w:pPr>
              <w:rPr>
                <w:rFonts w:ascii="Times New Roman" w:hAnsi="Times New Roman" w:cs="Times New Roman"/>
                <w:b w:val="0"/>
                <w:sz w:val="24"/>
                <w:szCs w:val="24"/>
              </w:rPr>
            </w:pPr>
            <w:r w:rsidRPr="006C70A5">
              <w:rPr>
                <w:rFonts w:ascii="Times New Roman" w:hAnsi="Times New Roman" w:cs="Times New Roman"/>
                <w:sz w:val="24"/>
                <w:szCs w:val="24"/>
              </w:rPr>
              <w:t>Elizabeth Lime, and TinyTV, Inc.</w:t>
            </w:r>
          </w:p>
          <w:p w14:paraId="226A5816" w14:textId="77777777" w:rsidR="00921DF9" w:rsidRPr="006C70A5" w:rsidRDefault="00921DF9" w:rsidP="00EF3DB7">
            <w:pPr>
              <w:rPr>
                <w:rFonts w:ascii="Times New Roman" w:hAnsi="Times New Roman" w:cs="Times New Roman"/>
                <w:b w:val="0"/>
                <w:sz w:val="24"/>
                <w:szCs w:val="24"/>
              </w:rPr>
            </w:pPr>
          </w:p>
          <w:p w14:paraId="64C1FA51" w14:textId="77777777" w:rsidR="00921DF9" w:rsidRPr="006C70A5" w:rsidRDefault="00921DF9" w:rsidP="00EF3DB7">
            <w:pPr>
              <w:jc w:val="right"/>
              <w:rPr>
                <w:rFonts w:ascii="Times New Roman" w:hAnsi="Times New Roman" w:cs="Times New Roman"/>
                <w:b w:val="0"/>
                <w:sz w:val="24"/>
                <w:szCs w:val="24"/>
              </w:rPr>
            </w:pPr>
            <w:r w:rsidRPr="006C70A5">
              <w:rPr>
                <w:rFonts w:ascii="Times New Roman" w:hAnsi="Times New Roman" w:cs="Times New Roman"/>
                <w:sz w:val="24"/>
                <w:szCs w:val="24"/>
              </w:rPr>
              <w:t>Defendants.</w:t>
            </w:r>
          </w:p>
          <w:p w14:paraId="00ACDA5C" w14:textId="77777777" w:rsidR="00921DF9" w:rsidRPr="006C70A5" w:rsidRDefault="00921DF9" w:rsidP="00EF3DB7">
            <w:pPr>
              <w:jc w:val="right"/>
              <w:rPr>
                <w:rFonts w:ascii="Times New Roman" w:hAnsi="Times New Roman" w:cs="Times New Roman"/>
                <w:b w:val="0"/>
                <w:sz w:val="24"/>
                <w:szCs w:val="24"/>
              </w:rPr>
            </w:pPr>
          </w:p>
        </w:tc>
        <w:tc>
          <w:tcPr>
            <w:tcW w:w="4788" w:type="dxa"/>
          </w:tcPr>
          <w:p w14:paraId="0241A23D" w14:textId="77777777" w:rsidR="00921DF9" w:rsidRPr="006C70A5" w:rsidRDefault="00921DF9" w:rsidP="00EF3DB7">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2AF9B516" w14:textId="77777777" w:rsidR="00921DF9" w:rsidRPr="006C70A5" w:rsidRDefault="00921DF9" w:rsidP="00EF3DB7">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48A4D170" w14:textId="77777777" w:rsidR="00921DF9" w:rsidRPr="006C70A5" w:rsidRDefault="00921DF9" w:rsidP="00EF3DB7">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760388F8" w14:textId="77777777" w:rsidR="00921DF9" w:rsidRPr="006C70A5" w:rsidRDefault="00921DF9" w:rsidP="00EF3DB7">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6C70A5">
              <w:rPr>
                <w:rFonts w:ascii="Times New Roman" w:hAnsi="Times New Roman" w:cs="Times New Roman"/>
                <w:sz w:val="24"/>
                <w:szCs w:val="24"/>
              </w:rPr>
              <w:t>Court File No. 27-CV-12-1234</w:t>
            </w:r>
          </w:p>
          <w:p w14:paraId="00AA7AFF" w14:textId="77777777" w:rsidR="00921DF9" w:rsidRPr="006C70A5" w:rsidRDefault="00921DF9" w:rsidP="00EF3DB7">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p w14:paraId="273D4781" w14:textId="77777777" w:rsidR="00921DF9" w:rsidRPr="006C70A5" w:rsidRDefault="007370A5" w:rsidP="00EF3DB7">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sz w:val="24"/>
                <w:szCs w:val="24"/>
              </w:rPr>
              <w:t xml:space="preserve">MEMORANDUM IN SUPPORT OF DEFENDANTS’ </w:t>
            </w:r>
            <w:r w:rsidR="00921DF9" w:rsidRPr="006C70A5">
              <w:rPr>
                <w:rFonts w:ascii="Times New Roman" w:hAnsi="Times New Roman" w:cs="Times New Roman"/>
                <w:sz w:val="24"/>
                <w:szCs w:val="24"/>
              </w:rPr>
              <w:t>MOTION FOR JUDGMENT ON THE PLEADINGS</w:t>
            </w:r>
          </w:p>
          <w:p w14:paraId="74ECE28C" w14:textId="77777777" w:rsidR="00921DF9" w:rsidRPr="006C70A5" w:rsidRDefault="00921DF9" w:rsidP="00EF3DB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bl>
    <w:p w14:paraId="5045EB3F" w14:textId="77777777" w:rsidR="00921DF9" w:rsidRDefault="00921DF9" w:rsidP="00921DF9">
      <w:pPr>
        <w:spacing w:after="0" w:line="480" w:lineRule="auto"/>
        <w:jc w:val="center"/>
        <w:rPr>
          <w:rFonts w:cs="Times New Roman"/>
          <w:szCs w:val="24"/>
        </w:rPr>
      </w:pPr>
    </w:p>
    <w:p w14:paraId="255EBB7C" w14:textId="77777777" w:rsidR="00921DF9" w:rsidRDefault="00921DF9" w:rsidP="00921DF9">
      <w:pPr>
        <w:spacing w:after="0" w:line="480" w:lineRule="auto"/>
        <w:rPr>
          <w:rFonts w:cs="Times New Roman"/>
          <w:szCs w:val="24"/>
        </w:rPr>
      </w:pPr>
      <w:r>
        <w:rPr>
          <w:rFonts w:cs="Times New Roman"/>
          <w:szCs w:val="24"/>
        </w:rPr>
        <w:tab/>
        <w:t xml:space="preserve">Pursuant to the Court’s Order dated January 23, 2012, Defendants Elizabeth Lime and TinyTV, Inc., submit the following memorandum in </w:t>
      </w:r>
      <w:r w:rsidR="007370A5">
        <w:rPr>
          <w:rFonts w:cs="Times New Roman"/>
          <w:szCs w:val="24"/>
        </w:rPr>
        <w:t xml:space="preserve">support of </w:t>
      </w:r>
      <w:r w:rsidR="00DF68DE">
        <w:rPr>
          <w:rFonts w:cs="Times New Roman"/>
          <w:szCs w:val="24"/>
        </w:rPr>
        <w:t>their</w:t>
      </w:r>
      <w:r w:rsidR="007370A5">
        <w:rPr>
          <w:rFonts w:cs="Times New Roman"/>
          <w:szCs w:val="24"/>
        </w:rPr>
        <w:t xml:space="preserve"> motio</w:t>
      </w:r>
      <w:r w:rsidR="00E62943">
        <w:rPr>
          <w:rFonts w:cs="Times New Roman"/>
          <w:szCs w:val="24"/>
        </w:rPr>
        <w:t xml:space="preserve">n for judgment on the pleadings, which seeks </w:t>
      </w:r>
      <w:r w:rsidR="007370A5">
        <w:rPr>
          <w:rFonts w:cs="Times New Roman"/>
          <w:szCs w:val="24"/>
        </w:rPr>
        <w:t>a declaration that Ms. Lime is the owner of the contested work and copyright</w:t>
      </w:r>
      <w:r>
        <w:rPr>
          <w:rFonts w:cs="Times New Roman"/>
          <w:szCs w:val="24"/>
        </w:rPr>
        <w:t>.</w:t>
      </w:r>
    </w:p>
    <w:p w14:paraId="3E4B5798" w14:textId="77777777" w:rsidR="00921DF9" w:rsidRPr="00F448C7" w:rsidRDefault="00921DF9" w:rsidP="00921DF9">
      <w:pPr>
        <w:spacing w:after="0" w:line="480" w:lineRule="auto"/>
        <w:jc w:val="center"/>
        <w:rPr>
          <w:rFonts w:cs="Times New Roman"/>
          <w:b/>
          <w:szCs w:val="24"/>
        </w:rPr>
      </w:pPr>
      <w:r w:rsidRPr="00F448C7">
        <w:rPr>
          <w:rFonts w:cs="Times New Roman"/>
          <w:b/>
          <w:szCs w:val="24"/>
        </w:rPr>
        <w:t>INTRODUCTION</w:t>
      </w:r>
    </w:p>
    <w:p w14:paraId="6B6C29FF" w14:textId="77777777" w:rsidR="00921DF9" w:rsidRPr="00F448C7" w:rsidRDefault="00921DF9" w:rsidP="00921DF9">
      <w:pPr>
        <w:spacing w:after="0" w:line="480" w:lineRule="auto"/>
        <w:rPr>
          <w:rFonts w:cs="Times New Roman"/>
          <w:szCs w:val="24"/>
        </w:rPr>
      </w:pPr>
      <w:r>
        <w:rPr>
          <w:rFonts w:cs="Times New Roman"/>
        </w:rPr>
        <w:tab/>
      </w:r>
      <w:r w:rsidR="007370A5">
        <w:rPr>
          <w:rFonts w:cs="Times New Roman"/>
          <w:szCs w:val="24"/>
        </w:rPr>
        <w:t>Ms.</w:t>
      </w:r>
      <w:r>
        <w:rPr>
          <w:rFonts w:cs="Times New Roman"/>
          <w:szCs w:val="24"/>
        </w:rPr>
        <w:t xml:space="preserve"> Lime and TinyTV, Inc., seek dismissal of Plaintiff’s suit regarding Ms. Lime’s creation of a </w:t>
      </w:r>
      <w:r w:rsidR="007370A5">
        <w:rPr>
          <w:rFonts w:cs="Times New Roman"/>
          <w:szCs w:val="24"/>
        </w:rPr>
        <w:t>commissioned</w:t>
      </w:r>
      <w:r>
        <w:rPr>
          <w:rFonts w:cs="Times New Roman"/>
          <w:szCs w:val="24"/>
        </w:rPr>
        <w:t xml:space="preserve"> screenplay for Plaintiff’s television series. After creating the screenplay, which was never used</w:t>
      </w:r>
      <w:r w:rsidR="007370A5">
        <w:rPr>
          <w:rFonts w:cs="Times New Roman"/>
          <w:szCs w:val="24"/>
        </w:rPr>
        <w:t xml:space="preserve"> by OGS TV, Inc.</w:t>
      </w:r>
      <w:r>
        <w:rPr>
          <w:rFonts w:cs="Times New Roman"/>
          <w:szCs w:val="24"/>
        </w:rPr>
        <w:t xml:space="preserve">, Ms. Lime partnered with TinyTV, Inc., to produce a new television series incorporating some of the material from her prior work. Because </w:t>
      </w:r>
      <w:r w:rsidR="007370A5">
        <w:rPr>
          <w:rFonts w:cs="Times New Roman"/>
          <w:szCs w:val="24"/>
        </w:rPr>
        <w:t>t</w:t>
      </w:r>
      <w:r>
        <w:rPr>
          <w:rFonts w:cs="Times New Roman"/>
          <w:szCs w:val="24"/>
        </w:rPr>
        <w:t xml:space="preserve">he Copyright Act of 1976 requires </w:t>
      </w:r>
      <w:r w:rsidR="007370A5">
        <w:rPr>
          <w:rFonts w:cs="Times New Roman"/>
          <w:szCs w:val="24"/>
        </w:rPr>
        <w:t xml:space="preserve">that </w:t>
      </w:r>
      <w:r>
        <w:rPr>
          <w:rFonts w:cs="Times New Roman"/>
          <w:szCs w:val="24"/>
        </w:rPr>
        <w:t>a written agreement precede the creation of a work made for hire,</w:t>
      </w:r>
      <w:r w:rsidR="00545577">
        <w:rPr>
          <w:rFonts w:cs="Times New Roman"/>
          <w:szCs w:val="24"/>
        </w:rPr>
        <w:t xml:space="preserve"> a condition not present in this case,</w:t>
      </w:r>
      <w:r>
        <w:rPr>
          <w:rFonts w:cs="Times New Roman"/>
          <w:szCs w:val="24"/>
        </w:rPr>
        <w:t xml:space="preserve"> Plaintiff never obtained ownership or copyright to Ms. Lime’s screenplay. As Ms. Lime has, at all necessary times, possessed ownership and authorship of, and copyright to, her work, Plaintiff does not have a copyright to the work. Lacking a legal copyright claim under any section of </w:t>
      </w:r>
      <w:r w:rsidR="00545577">
        <w:rPr>
          <w:rFonts w:cs="Times New Roman"/>
          <w:szCs w:val="24"/>
        </w:rPr>
        <w:t>the Copyright Act,</w:t>
      </w:r>
      <w:r>
        <w:rPr>
          <w:rFonts w:cs="Times New Roman"/>
          <w:szCs w:val="24"/>
        </w:rPr>
        <w:t xml:space="preserve"> Plaintiff states no </w:t>
      </w:r>
      <w:r w:rsidR="00545577">
        <w:rPr>
          <w:rFonts w:cs="Times New Roman"/>
          <w:szCs w:val="24"/>
        </w:rPr>
        <w:t xml:space="preserve">legally cognizable </w:t>
      </w:r>
      <w:r>
        <w:rPr>
          <w:rFonts w:cs="Times New Roman"/>
          <w:szCs w:val="24"/>
        </w:rPr>
        <w:t xml:space="preserve">claim in </w:t>
      </w:r>
      <w:r w:rsidR="00545577">
        <w:rPr>
          <w:rFonts w:cs="Times New Roman"/>
          <w:szCs w:val="24"/>
        </w:rPr>
        <w:t>its</w:t>
      </w:r>
      <w:r>
        <w:rPr>
          <w:rFonts w:cs="Times New Roman"/>
          <w:szCs w:val="24"/>
        </w:rPr>
        <w:t xml:space="preserve"> complaint. The Court should</w:t>
      </w:r>
      <w:r w:rsidR="00545577">
        <w:rPr>
          <w:rFonts w:cs="Times New Roman"/>
          <w:szCs w:val="24"/>
        </w:rPr>
        <w:t xml:space="preserve"> therefore</w:t>
      </w:r>
      <w:r>
        <w:rPr>
          <w:rFonts w:cs="Times New Roman"/>
          <w:szCs w:val="24"/>
        </w:rPr>
        <w:t xml:space="preserve"> dismiss its complaint.</w:t>
      </w:r>
    </w:p>
    <w:p w14:paraId="2F941C4A" w14:textId="77777777" w:rsidR="00921DF9" w:rsidRDefault="00921DF9" w:rsidP="00921DF9">
      <w:pPr>
        <w:spacing w:after="0" w:line="480" w:lineRule="auto"/>
        <w:jc w:val="center"/>
        <w:rPr>
          <w:rFonts w:cs="Times New Roman"/>
          <w:b/>
          <w:szCs w:val="24"/>
        </w:rPr>
      </w:pPr>
    </w:p>
    <w:p w14:paraId="600E1813" w14:textId="77777777" w:rsidR="00921DF9" w:rsidRDefault="00921DF9" w:rsidP="00921DF9">
      <w:pPr>
        <w:spacing w:after="0" w:line="480" w:lineRule="auto"/>
        <w:jc w:val="center"/>
        <w:rPr>
          <w:rFonts w:cs="Times New Roman"/>
          <w:szCs w:val="24"/>
        </w:rPr>
      </w:pPr>
      <w:r>
        <w:rPr>
          <w:rFonts w:cs="Times New Roman"/>
          <w:b/>
          <w:szCs w:val="24"/>
        </w:rPr>
        <w:t>FACTS</w:t>
      </w:r>
    </w:p>
    <w:p w14:paraId="17BE7EE6" w14:textId="77777777" w:rsidR="00921DF9" w:rsidRDefault="00921DF9" w:rsidP="00921DF9">
      <w:pPr>
        <w:spacing w:after="0" w:line="480" w:lineRule="auto"/>
        <w:rPr>
          <w:rFonts w:cs="Times New Roman"/>
          <w:szCs w:val="24"/>
        </w:rPr>
      </w:pPr>
      <w:r w:rsidRPr="0044130F">
        <w:rPr>
          <w:rFonts w:cs="Times New Roman"/>
          <w:szCs w:val="24"/>
        </w:rPr>
        <w:t>1.</w:t>
      </w:r>
      <w:r>
        <w:rPr>
          <w:rFonts w:cs="Times New Roman"/>
          <w:szCs w:val="24"/>
        </w:rPr>
        <w:tab/>
        <w:t xml:space="preserve">Ms. Lime has been a well-known television screenwriter for </w:t>
      </w:r>
      <w:r w:rsidR="00545577">
        <w:rPr>
          <w:rFonts w:cs="Times New Roman"/>
          <w:szCs w:val="24"/>
        </w:rPr>
        <w:t>more than</w:t>
      </w:r>
      <w:r>
        <w:rPr>
          <w:rFonts w:cs="Times New Roman"/>
          <w:szCs w:val="24"/>
        </w:rPr>
        <w:t xml:space="preserve"> fifteen years and had never worked with Plaintiff </w:t>
      </w:r>
      <w:r w:rsidR="006F3F8F">
        <w:rPr>
          <w:rFonts w:cs="Times New Roman"/>
          <w:szCs w:val="24"/>
        </w:rPr>
        <w:t xml:space="preserve">before </w:t>
      </w:r>
      <w:r>
        <w:rPr>
          <w:rFonts w:cs="Times New Roman"/>
          <w:szCs w:val="24"/>
        </w:rPr>
        <w:t>the present work in dispute. Compl. ¶ 11.</w:t>
      </w:r>
      <w:r>
        <w:rPr>
          <w:rFonts w:cs="Times New Roman"/>
          <w:szCs w:val="24"/>
        </w:rPr>
        <w:br/>
        <w:t>2.</w:t>
      </w:r>
      <w:r>
        <w:rPr>
          <w:rFonts w:cs="Times New Roman"/>
          <w:szCs w:val="24"/>
        </w:rPr>
        <w:tab/>
        <w:t xml:space="preserve">Plaintiff is the creator of the television show, </w:t>
      </w:r>
      <w:r>
        <w:rPr>
          <w:rFonts w:cs="Times New Roman"/>
          <w:i/>
          <w:szCs w:val="24"/>
        </w:rPr>
        <w:t>Lawless Love</w:t>
      </w:r>
      <w:r>
        <w:rPr>
          <w:rFonts w:cs="Times New Roman"/>
          <w:szCs w:val="24"/>
        </w:rPr>
        <w:t xml:space="preserve">, with its own team of in-house writers for the show’s screenplays. </w:t>
      </w:r>
      <w:r>
        <w:rPr>
          <w:rFonts w:cs="Times New Roman"/>
          <w:i/>
          <w:szCs w:val="24"/>
        </w:rPr>
        <w:t>Id</w:t>
      </w:r>
      <w:r>
        <w:rPr>
          <w:rFonts w:cs="Times New Roman"/>
          <w:szCs w:val="24"/>
        </w:rPr>
        <w:t>. ¶ 5.</w:t>
      </w:r>
    </w:p>
    <w:p w14:paraId="021709E9" w14:textId="77777777" w:rsidR="00921DF9" w:rsidRDefault="00921DF9" w:rsidP="00921DF9">
      <w:pPr>
        <w:spacing w:after="0" w:line="480" w:lineRule="auto"/>
        <w:rPr>
          <w:rFonts w:cs="Times New Roman"/>
          <w:szCs w:val="24"/>
        </w:rPr>
      </w:pPr>
      <w:r>
        <w:rPr>
          <w:rFonts w:cs="Times New Roman"/>
          <w:szCs w:val="24"/>
        </w:rPr>
        <w:t>3.</w:t>
      </w:r>
      <w:r>
        <w:rPr>
          <w:rFonts w:cs="Times New Roman"/>
          <w:szCs w:val="24"/>
        </w:rPr>
        <w:tab/>
        <w:t xml:space="preserve">On March 27, 2010, Dave Nelson, </w:t>
      </w:r>
      <w:r w:rsidR="006F3F8F">
        <w:rPr>
          <w:rFonts w:cs="Times New Roman"/>
          <w:szCs w:val="24"/>
        </w:rPr>
        <w:t xml:space="preserve">the </w:t>
      </w:r>
      <w:r>
        <w:rPr>
          <w:rFonts w:cs="Times New Roman"/>
          <w:szCs w:val="24"/>
        </w:rPr>
        <w:t xml:space="preserve">executive producer of </w:t>
      </w:r>
      <w:r>
        <w:rPr>
          <w:rFonts w:cs="Times New Roman"/>
          <w:i/>
          <w:szCs w:val="24"/>
        </w:rPr>
        <w:t>Lawless Love</w:t>
      </w:r>
      <w:r>
        <w:rPr>
          <w:rFonts w:cs="Times New Roman"/>
          <w:szCs w:val="24"/>
        </w:rPr>
        <w:t xml:space="preserve"> and </w:t>
      </w:r>
      <w:r w:rsidR="006F3F8F">
        <w:rPr>
          <w:rFonts w:cs="Times New Roman"/>
          <w:szCs w:val="24"/>
        </w:rPr>
        <w:t xml:space="preserve">an </w:t>
      </w:r>
      <w:r>
        <w:rPr>
          <w:rFonts w:cs="Times New Roman"/>
          <w:szCs w:val="24"/>
        </w:rPr>
        <w:t xml:space="preserve">employee of </w:t>
      </w:r>
      <w:r w:rsidR="006F3F8F">
        <w:rPr>
          <w:rFonts w:cs="Times New Roman"/>
          <w:szCs w:val="24"/>
        </w:rPr>
        <w:t>P</w:t>
      </w:r>
      <w:r>
        <w:rPr>
          <w:rFonts w:cs="Times New Roman"/>
          <w:szCs w:val="24"/>
        </w:rPr>
        <w:t xml:space="preserve">laintiff, met with Ms. Lime </w:t>
      </w:r>
      <w:r w:rsidR="006F3F8F">
        <w:rPr>
          <w:rFonts w:cs="Times New Roman"/>
          <w:szCs w:val="24"/>
        </w:rPr>
        <w:t>Plaintiff’s office</w:t>
      </w:r>
      <w:r>
        <w:rPr>
          <w:rFonts w:cs="Times New Roman"/>
          <w:szCs w:val="24"/>
        </w:rPr>
        <w:t xml:space="preserve">. </w:t>
      </w:r>
      <w:r>
        <w:rPr>
          <w:rFonts w:cs="Times New Roman"/>
          <w:i/>
          <w:szCs w:val="24"/>
        </w:rPr>
        <w:t>Id</w:t>
      </w:r>
      <w:r>
        <w:rPr>
          <w:rFonts w:cs="Times New Roman"/>
          <w:szCs w:val="24"/>
        </w:rPr>
        <w:t>. ¶¶ 10, 12.</w:t>
      </w:r>
    </w:p>
    <w:p w14:paraId="48E3E6A4" w14:textId="77777777" w:rsidR="00921DF9" w:rsidRDefault="00921DF9" w:rsidP="00921DF9">
      <w:pPr>
        <w:spacing w:after="0" w:line="480" w:lineRule="auto"/>
        <w:rPr>
          <w:rFonts w:cs="Times New Roman"/>
          <w:szCs w:val="24"/>
        </w:rPr>
      </w:pPr>
      <w:r>
        <w:rPr>
          <w:rFonts w:cs="Times New Roman"/>
          <w:szCs w:val="24"/>
        </w:rPr>
        <w:t>4.</w:t>
      </w:r>
      <w:r>
        <w:rPr>
          <w:rFonts w:cs="Times New Roman"/>
          <w:szCs w:val="24"/>
        </w:rPr>
        <w:tab/>
      </w:r>
      <w:r w:rsidR="00545577">
        <w:rPr>
          <w:rFonts w:cs="Times New Roman"/>
          <w:szCs w:val="24"/>
        </w:rPr>
        <w:t xml:space="preserve">During this meeting, </w:t>
      </w:r>
      <w:r>
        <w:rPr>
          <w:rFonts w:cs="Times New Roman"/>
          <w:szCs w:val="24"/>
        </w:rPr>
        <w:t xml:space="preserve">Mr. Nelson and Ms. Lime made an oral agreement only, stipulating that she would prepare a screenplay for </w:t>
      </w:r>
      <w:r>
        <w:rPr>
          <w:rFonts w:cs="Times New Roman"/>
          <w:i/>
          <w:szCs w:val="24"/>
        </w:rPr>
        <w:t>Lawless Love</w:t>
      </w:r>
      <w:r>
        <w:rPr>
          <w:rFonts w:cs="Times New Roman"/>
          <w:szCs w:val="24"/>
        </w:rPr>
        <w:t xml:space="preserve">; per Mr. Nelson’s request, Ms. Lime incorporated her unique approach to the premise and characters of </w:t>
      </w:r>
      <w:r>
        <w:rPr>
          <w:rFonts w:cs="Times New Roman"/>
          <w:i/>
          <w:szCs w:val="24"/>
        </w:rPr>
        <w:t>Lawless Love</w:t>
      </w:r>
      <w:r>
        <w:rPr>
          <w:rFonts w:cs="Times New Roman"/>
          <w:szCs w:val="24"/>
        </w:rPr>
        <w:t xml:space="preserve">. </w:t>
      </w:r>
      <w:r>
        <w:rPr>
          <w:rFonts w:cs="Times New Roman"/>
          <w:i/>
          <w:szCs w:val="24"/>
        </w:rPr>
        <w:t>Id</w:t>
      </w:r>
      <w:r w:rsidR="00545577">
        <w:rPr>
          <w:rFonts w:cs="Times New Roman"/>
          <w:szCs w:val="24"/>
        </w:rPr>
        <w:t>. ¶¶ 13-</w:t>
      </w:r>
      <w:r>
        <w:rPr>
          <w:rFonts w:cs="Times New Roman"/>
          <w:szCs w:val="24"/>
        </w:rPr>
        <w:t>14.</w:t>
      </w:r>
    </w:p>
    <w:p w14:paraId="6A1407DB" w14:textId="77777777" w:rsidR="00921DF9" w:rsidRDefault="00921DF9" w:rsidP="00921DF9">
      <w:pPr>
        <w:spacing w:after="0" w:line="480" w:lineRule="auto"/>
        <w:rPr>
          <w:rFonts w:cs="Times New Roman"/>
          <w:szCs w:val="24"/>
        </w:rPr>
      </w:pPr>
      <w:r>
        <w:rPr>
          <w:rFonts w:cs="Times New Roman"/>
          <w:szCs w:val="24"/>
        </w:rPr>
        <w:t>5.</w:t>
      </w:r>
      <w:r>
        <w:rPr>
          <w:rFonts w:cs="Times New Roman"/>
          <w:szCs w:val="24"/>
        </w:rPr>
        <w:tab/>
        <w:t xml:space="preserve">All agreements made prior to the completion of the script, including a work-made-for-hire agreement, were exclusively oral. </w:t>
      </w:r>
      <w:r>
        <w:rPr>
          <w:rFonts w:cs="Times New Roman"/>
          <w:i/>
          <w:szCs w:val="24"/>
        </w:rPr>
        <w:t>Id</w:t>
      </w:r>
      <w:r w:rsidR="00545577">
        <w:rPr>
          <w:rFonts w:cs="Times New Roman"/>
          <w:szCs w:val="24"/>
        </w:rPr>
        <w:t>. ¶ ¶ 13, 16-</w:t>
      </w:r>
      <w:r>
        <w:rPr>
          <w:rFonts w:cs="Times New Roman"/>
          <w:szCs w:val="24"/>
        </w:rPr>
        <w:t>17.</w:t>
      </w:r>
    </w:p>
    <w:p w14:paraId="1D7E4B15" w14:textId="77777777" w:rsidR="00921DF9" w:rsidRDefault="00921DF9" w:rsidP="00921DF9">
      <w:pPr>
        <w:spacing w:after="0" w:line="480" w:lineRule="auto"/>
        <w:rPr>
          <w:rFonts w:cs="Times New Roman"/>
          <w:szCs w:val="24"/>
        </w:rPr>
      </w:pPr>
      <w:r>
        <w:rPr>
          <w:rFonts w:cs="Times New Roman"/>
          <w:szCs w:val="24"/>
        </w:rPr>
        <w:t>6.</w:t>
      </w:r>
      <w:r>
        <w:rPr>
          <w:rFonts w:cs="Times New Roman"/>
          <w:szCs w:val="24"/>
        </w:rPr>
        <w:tab/>
        <w:t xml:space="preserve">On April 1, 2010, Ms. Lime submitted the screenplay, entitled “Anticipatory Repudiation,” to Plaintiff. </w:t>
      </w:r>
      <w:r>
        <w:rPr>
          <w:rFonts w:cs="Times New Roman"/>
          <w:i/>
          <w:szCs w:val="24"/>
        </w:rPr>
        <w:t>Id</w:t>
      </w:r>
      <w:r>
        <w:rPr>
          <w:rFonts w:cs="Times New Roman"/>
          <w:szCs w:val="24"/>
        </w:rPr>
        <w:t>. ¶ 21.</w:t>
      </w:r>
    </w:p>
    <w:p w14:paraId="11131509" w14:textId="77777777" w:rsidR="00921DF9" w:rsidRPr="000C2381" w:rsidRDefault="00921DF9" w:rsidP="00921DF9">
      <w:pPr>
        <w:spacing w:after="0" w:line="480" w:lineRule="auto"/>
        <w:rPr>
          <w:rFonts w:cs="Times New Roman"/>
          <w:szCs w:val="24"/>
        </w:rPr>
      </w:pPr>
      <w:r>
        <w:rPr>
          <w:rFonts w:cs="Times New Roman"/>
          <w:szCs w:val="24"/>
        </w:rPr>
        <w:t>7.</w:t>
      </w:r>
      <w:r>
        <w:rPr>
          <w:rFonts w:cs="Times New Roman"/>
          <w:szCs w:val="24"/>
        </w:rPr>
        <w:tab/>
        <w:t xml:space="preserve">On April 2, 2010, Plaintiff registered a copyright for the aforementioned screenplay, prior to receiving any formal work-made-for-hire documentation. </w:t>
      </w:r>
      <w:r>
        <w:rPr>
          <w:rFonts w:cs="Times New Roman"/>
          <w:i/>
          <w:szCs w:val="24"/>
        </w:rPr>
        <w:t>Id</w:t>
      </w:r>
      <w:r>
        <w:rPr>
          <w:rFonts w:cs="Times New Roman"/>
          <w:szCs w:val="24"/>
        </w:rPr>
        <w:t>. ¶ 22</w:t>
      </w:r>
    </w:p>
    <w:p w14:paraId="241ABAC9" w14:textId="77777777" w:rsidR="00921DF9" w:rsidRDefault="00921DF9" w:rsidP="00921DF9">
      <w:pPr>
        <w:spacing w:after="0" w:line="480" w:lineRule="auto"/>
        <w:rPr>
          <w:rFonts w:cs="Times New Roman"/>
          <w:szCs w:val="24"/>
        </w:rPr>
      </w:pPr>
      <w:r>
        <w:rPr>
          <w:rFonts w:cs="Times New Roman"/>
          <w:szCs w:val="24"/>
        </w:rPr>
        <w:t>8.</w:t>
      </w:r>
      <w:r>
        <w:rPr>
          <w:rFonts w:cs="Times New Roman"/>
          <w:szCs w:val="24"/>
        </w:rPr>
        <w:tab/>
        <w:t xml:space="preserve">Four days later, on April 6, 2010, Ms. Lime returned to Plaintiff’s office to receive payment and sign a paper document labeled “Work-Made-For-Hire Agreement.” </w:t>
      </w:r>
      <w:r>
        <w:rPr>
          <w:rFonts w:cs="Times New Roman"/>
          <w:i/>
          <w:szCs w:val="24"/>
        </w:rPr>
        <w:t>Id</w:t>
      </w:r>
      <w:r>
        <w:rPr>
          <w:rFonts w:cs="Times New Roman"/>
          <w:szCs w:val="24"/>
        </w:rPr>
        <w:t>. ¶ 24.</w:t>
      </w:r>
    </w:p>
    <w:p w14:paraId="307C738F" w14:textId="77777777" w:rsidR="00921DF9" w:rsidRDefault="00921DF9" w:rsidP="00921DF9">
      <w:pPr>
        <w:spacing w:after="0" w:line="480" w:lineRule="auto"/>
        <w:rPr>
          <w:rFonts w:cs="Times New Roman"/>
          <w:szCs w:val="24"/>
        </w:rPr>
      </w:pPr>
      <w:r>
        <w:rPr>
          <w:rFonts w:cs="Times New Roman"/>
          <w:szCs w:val="24"/>
        </w:rPr>
        <w:t>9.</w:t>
      </w:r>
      <w:r>
        <w:rPr>
          <w:rFonts w:cs="Times New Roman"/>
          <w:szCs w:val="24"/>
        </w:rPr>
        <w:tab/>
        <w:t>At no time prior to the creation of Ms. Lime’s screenplay did she and Plaintiff sign any written agreement transferring authorship or ownership. Answer ¶ 3.</w:t>
      </w:r>
    </w:p>
    <w:p w14:paraId="3169F3D1" w14:textId="77777777" w:rsidR="00921DF9" w:rsidRDefault="00921DF9" w:rsidP="00921DF9">
      <w:pPr>
        <w:spacing w:after="0" w:line="480" w:lineRule="auto"/>
        <w:rPr>
          <w:rFonts w:cs="Times New Roman"/>
          <w:szCs w:val="24"/>
        </w:rPr>
      </w:pPr>
      <w:r>
        <w:rPr>
          <w:rFonts w:cs="Times New Roman"/>
          <w:szCs w:val="24"/>
        </w:rPr>
        <w:t>10.</w:t>
      </w:r>
      <w:r>
        <w:rPr>
          <w:rFonts w:cs="Times New Roman"/>
          <w:szCs w:val="24"/>
        </w:rPr>
        <w:tab/>
        <w:t xml:space="preserve">Plaintiff opted not to use Ms. Lime’s work, stating that it did not fit with the theme of the show and was too expensive; in short, it was wrong for </w:t>
      </w:r>
      <w:r>
        <w:rPr>
          <w:rFonts w:cs="Times New Roman"/>
          <w:i/>
          <w:szCs w:val="24"/>
        </w:rPr>
        <w:t>Lawless Love</w:t>
      </w:r>
      <w:r>
        <w:rPr>
          <w:rFonts w:cs="Times New Roman"/>
          <w:szCs w:val="24"/>
        </w:rPr>
        <w:t>. Compl. ¶ 26.</w:t>
      </w:r>
    </w:p>
    <w:p w14:paraId="48BB5B9D" w14:textId="77777777" w:rsidR="00921DF9" w:rsidRDefault="00921DF9" w:rsidP="00921DF9">
      <w:pPr>
        <w:spacing w:after="0" w:line="480" w:lineRule="auto"/>
        <w:rPr>
          <w:rFonts w:cs="Times New Roman"/>
          <w:szCs w:val="24"/>
        </w:rPr>
      </w:pPr>
      <w:r>
        <w:rPr>
          <w:rFonts w:cs="Times New Roman"/>
          <w:szCs w:val="24"/>
        </w:rPr>
        <w:lastRenderedPageBreak/>
        <w:t>11.</w:t>
      </w:r>
      <w:r>
        <w:rPr>
          <w:rFonts w:cs="Times New Roman"/>
          <w:szCs w:val="24"/>
        </w:rPr>
        <w:tab/>
        <w:t xml:space="preserve">As a result, Ms. Lime used elements of her own authored work for the pilot of a new show, </w:t>
      </w:r>
      <w:r>
        <w:rPr>
          <w:rFonts w:cs="Times New Roman"/>
          <w:i/>
          <w:szCs w:val="24"/>
        </w:rPr>
        <w:t>The Tin Can</w:t>
      </w:r>
      <w:r>
        <w:rPr>
          <w:rFonts w:cs="Times New Roman"/>
          <w:szCs w:val="24"/>
        </w:rPr>
        <w:t xml:space="preserve">, which was produced and broadcast on television on September 7, 2010. </w:t>
      </w:r>
      <w:r>
        <w:rPr>
          <w:rFonts w:cs="Times New Roman"/>
          <w:i/>
          <w:szCs w:val="24"/>
        </w:rPr>
        <w:t>Id</w:t>
      </w:r>
      <w:r w:rsidR="00545577">
        <w:rPr>
          <w:rFonts w:cs="Times New Roman"/>
          <w:szCs w:val="24"/>
        </w:rPr>
        <w:t>. ¶¶ 28-</w:t>
      </w:r>
      <w:r>
        <w:rPr>
          <w:rFonts w:cs="Times New Roman"/>
          <w:szCs w:val="24"/>
        </w:rPr>
        <w:t>29.</w:t>
      </w:r>
    </w:p>
    <w:p w14:paraId="56B662D6" w14:textId="77777777" w:rsidR="00921DF9" w:rsidRDefault="00921DF9" w:rsidP="00921DF9">
      <w:pPr>
        <w:spacing w:after="0" w:line="480" w:lineRule="auto"/>
        <w:rPr>
          <w:rFonts w:cs="Times New Roman"/>
          <w:szCs w:val="24"/>
        </w:rPr>
      </w:pPr>
      <w:r>
        <w:rPr>
          <w:rFonts w:cs="Times New Roman"/>
          <w:szCs w:val="24"/>
        </w:rPr>
        <w:t>12.</w:t>
      </w:r>
      <w:r>
        <w:rPr>
          <w:rFonts w:cs="Times New Roman"/>
          <w:szCs w:val="24"/>
        </w:rPr>
        <w:tab/>
        <w:t>On January 17, 2012, Plaintiff filed a complaint against Ms. Lime and TinyTV, Inc., alleging copyright infringement. Defendants now move for judgment on the pleadings.</w:t>
      </w:r>
    </w:p>
    <w:p w14:paraId="2DFA8C8D" w14:textId="77777777" w:rsidR="00EF3DB7" w:rsidRDefault="008C15E7" w:rsidP="0037273A">
      <w:pPr>
        <w:spacing w:after="0" w:line="480" w:lineRule="auto"/>
        <w:jc w:val="center"/>
        <w:rPr>
          <w:rFonts w:cs="Times New Roman"/>
          <w:szCs w:val="24"/>
        </w:rPr>
      </w:pPr>
      <w:r>
        <w:rPr>
          <w:rFonts w:cs="Times New Roman"/>
          <w:b/>
          <w:szCs w:val="24"/>
        </w:rPr>
        <w:t>ARGUMENT</w:t>
      </w:r>
    </w:p>
    <w:p w14:paraId="7FEECAC5" w14:textId="77777777" w:rsidR="00C9101F" w:rsidRDefault="0037273A" w:rsidP="00EF6DAD">
      <w:pPr>
        <w:spacing w:after="0" w:line="480" w:lineRule="auto"/>
        <w:ind w:firstLine="720"/>
        <w:rPr>
          <w:rFonts w:cs="Times New Roman"/>
          <w:color w:val="000000"/>
          <w:shd w:val="clear" w:color="auto" w:fill="FFFFFF"/>
        </w:rPr>
      </w:pPr>
      <w:r w:rsidRPr="0037273A">
        <w:rPr>
          <w:rFonts w:cs="Times New Roman"/>
          <w:color w:val="000000"/>
          <w:shd w:val="clear" w:color="auto" w:fill="FFFFFF"/>
        </w:rPr>
        <w:t>As a general rule, a Rule 12(c) motion for judgment on the pleadings is reviewed under the same standard as a 12(b)(6) motion to dismiss.</w:t>
      </w:r>
      <w:r w:rsidRPr="0037273A">
        <w:rPr>
          <w:rStyle w:val="apple-converted-space"/>
          <w:rFonts w:cs="Times New Roman"/>
          <w:color w:val="000000"/>
          <w:shd w:val="clear" w:color="auto" w:fill="FFFFFF"/>
        </w:rPr>
        <w:t> </w:t>
      </w:r>
      <w:r w:rsidRPr="0037273A">
        <w:rPr>
          <w:rFonts w:cs="Times New Roman"/>
          <w:i/>
          <w:iCs/>
          <w:shd w:val="clear" w:color="auto" w:fill="FFFFFF"/>
        </w:rPr>
        <w:t>Ginsburg v. InBev NV/SA,</w:t>
      </w:r>
      <w:r w:rsidRPr="008C15E7">
        <w:rPr>
          <w:rStyle w:val="apple-converted-space"/>
          <w:rFonts w:cs="Times New Roman"/>
          <w:color w:val="0000FF"/>
          <w:shd w:val="clear" w:color="auto" w:fill="FFFFFF"/>
        </w:rPr>
        <w:t> </w:t>
      </w:r>
      <w:r w:rsidRPr="0037273A">
        <w:rPr>
          <w:rFonts w:cs="Times New Roman"/>
          <w:shd w:val="clear" w:color="auto" w:fill="FFFFFF"/>
        </w:rPr>
        <w:t xml:space="preserve">623 F.3d 1229, 1233, n. 3 (8th </w:t>
      </w:r>
      <w:r>
        <w:rPr>
          <w:rFonts w:cs="Times New Roman"/>
          <w:shd w:val="clear" w:color="auto" w:fill="FFFFFF"/>
        </w:rPr>
        <w:t>Cir.</w:t>
      </w:r>
      <w:r w:rsidR="008C15E7">
        <w:rPr>
          <w:rFonts w:cs="Times New Roman"/>
          <w:shd w:val="clear" w:color="auto" w:fill="FFFFFF"/>
        </w:rPr>
        <w:t xml:space="preserve"> </w:t>
      </w:r>
      <w:r w:rsidRPr="0037273A">
        <w:rPr>
          <w:rFonts w:cs="Times New Roman"/>
          <w:shd w:val="clear" w:color="auto" w:fill="FFFFFF"/>
        </w:rPr>
        <w:t>2010</w:t>
      </w:r>
      <w:r w:rsidRPr="0037273A">
        <w:rPr>
          <w:rFonts w:cs="Times New Roman"/>
          <w:color w:val="000000"/>
          <w:shd w:val="clear" w:color="auto" w:fill="FFFFFF"/>
        </w:rPr>
        <w:t>)</w:t>
      </w:r>
      <w:r>
        <w:rPr>
          <w:rFonts w:cs="Times New Roman"/>
          <w:color w:val="000000"/>
          <w:shd w:val="clear" w:color="auto" w:fill="FFFFFF"/>
        </w:rPr>
        <w:t xml:space="preserve">. “Judgment on the pleadings is appropriate where no material issue of fact remains to be resolved and the movant is entitled to judgment as a matter of law.” </w:t>
      </w:r>
      <w:r>
        <w:rPr>
          <w:rFonts w:cs="Times New Roman"/>
          <w:i/>
          <w:color w:val="000000"/>
          <w:shd w:val="clear" w:color="auto" w:fill="FFFFFF"/>
        </w:rPr>
        <w:t>Faibasch v. Univ. of Minn.</w:t>
      </w:r>
      <w:r>
        <w:rPr>
          <w:rFonts w:cs="Times New Roman"/>
          <w:color w:val="000000"/>
          <w:shd w:val="clear" w:color="auto" w:fill="FFFFFF"/>
        </w:rPr>
        <w:t>, 304 F.3d 797, 803 (8th Cir.</w:t>
      </w:r>
      <w:r w:rsidR="00EF6DAD">
        <w:rPr>
          <w:rFonts w:cs="Times New Roman"/>
          <w:color w:val="000000"/>
          <w:shd w:val="clear" w:color="auto" w:fill="FFFFFF"/>
        </w:rPr>
        <w:t xml:space="preserve"> </w:t>
      </w:r>
      <w:r>
        <w:rPr>
          <w:rFonts w:cs="Times New Roman"/>
          <w:color w:val="000000"/>
          <w:shd w:val="clear" w:color="auto" w:fill="FFFFFF"/>
        </w:rPr>
        <w:t xml:space="preserve">2002). </w:t>
      </w:r>
      <w:r w:rsidRPr="0037273A">
        <w:rPr>
          <w:rFonts w:cs="Times New Roman"/>
          <w:color w:val="000000"/>
          <w:shd w:val="clear" w:color="auto" w:fill="FFFFFF"/>
        </w:rPr>
        <w:t>Court view “facts as alleged in the non-movants' Complaint as true and make all reasonable inferences in their favor.”</w:t>
      </w:r>
      <w:r w:rsidRPr="0037273A">
        <w:rPr>
          <w:rStyle w:val="apple-converted-space"/>
          <w:rFonts w:cs="Times New Roman"/>
          <w:color w:val="000000"/>
          <w:shd w:val="clear" w:color="auto" w:fill="FFFFFF"/>
        </w:rPr>
        <w:t> </w:t>
      </w:r>
      <w:r w:rsidRPr="0037273A">
        <w:rPr>
          <w:rFonts w:cs="Times New Roman"/>
          <w:i/>
          <w:iCs/>
          <w:shd w:val="clear" w:color="auto" w:fill="FFFFFF"/>
        </w:rPr>
        <w:t>Tony Alamo Christian Ministries v. Selig,</w:t>
      </w:r>
      <w:r w:rsidR="00EF6DAD" w:rsidRPr="0037273A">
        <w:rPr>
          <w:rFonts w:cs="Times New Roman"/>
          <w:shd w:val="clear" w:color="auto" w:fill="FFFFFF"/>
        </w:rPr>
        <w:t xml:space="preserve"> </w:t>
      </w:r>
      <w:r w:rsidRPr="0037273A">
        <w:rPr>
          <w:rFonts w:cs="Times New Roman"/>
          <w:shd w:val="clear" w:color="auto" w:fill="FFFFFF"/>
        </w:rPr>
        <w:t>664 F.3d 1245</w:t>
      </w:r>
      <w:r w:rsidR="00EF6DAD">
        <w:rPr>
          <w:rFonts w:cs="Times New Roman"/>
          <w:shd w:val="clear" w:color="auto" w:fill="FFFFFF"/>
        </w:rPr>
        <w:t>, 1248</w:t>
      </w:r>
      <w:r w:rsidRPr="0037273A">
        <w:rPr>
          <w:rFonts w:cs="Times New Roman"/>
          <w:shd w:val="clear" w:color="auto" w:fill="FFFFFF"/>
        </w:rPr>
        <w:t xml:space="preserve"> (8th Cir.</w:t>
      </w:r>
      <w:r w:rsidR="00EF6DAD">
        <w:rPr>
          <w:rFonts w:cs="Times New Roman"/>
          <w:shd w:val="clear" w:color="auto" w:fill="FFFFFF"/>
        </w:rPr>
        <w:t xml:space="preserve"> </w:t>
      </w:r>
      <w:r w:rsidRPr="0037273A">
        <w:rPr>
          <w:rFonts w:cs="Times New Roman"/>
          <w:shd w:val="clear" w:color="auto" w:fill="FFFFFF"/>
        </w:rPr>
        <w:t>2012)</w:t>
      </w:r>
      <w:r w:rsidRPr="0037273A">
        <w:rPr>
          <w:rFonts w:cs="Times New Roman"/>
          <w:color w:val="000000"/>
          <w:shd w:val="clear" w:color="auto" w:fill="FFFFFF"/>
        </w:rPr>
        <w:t>. The facts pleaded by the non-moving party must be accepted as true and all reasonable inferences from the pleadings should be taken in favor of the non-moving party.</w:t>
      </w:r>
      <w:r w:rsidRPr="0037273A">
        <w:rPr>
          <w:rStyle w:val="apple-converted-space"/>
          <w:rFonts w:cs="Times New Roman"/>
          <w:color w:val="000000"/>
          <w:shd w:val="clear" w:color="auto" w:fill="FFFFFF"/>
        </w:rPr>
        <w:t> </w:t>
      </w:r>
      <w:r w:rsidRPr="0037273A">
        <w:rPr>
          <w:rFonts w:cs="Times New Roman"/>
          <w:i/>
          <w:iCs/>
          <w:shd w:val="clear" w:color="auto" w:fill="FFFFFF"/>
        </w:rPr>
        <w:t>Mills v. City of Grand Forks,</w:t>
      </w:r>
      <w:r w:rsidR="00EF6DAD">
        <w:rPr>
          <w:rStyle w:val="apple-converted-space"/>
          <w:rFonts w:cs="Times New Roman"/>
          <w:color w:val="0000FF"/>
          <w:shd w:val="clear" w:color="auto" w:fill="FFFFFF"/>
        </w:rPr>
        <w:t xml:space="preserve"> </w:t>
      </w:r>
      <w:r w:rsidRPr="0037273A">
        <w:rPr>
          <w:rFonts w:cs="Times New Roman"/>
          <w:shd w:val="clear" w:color="auto" w:fill="FFFFFF"/>
        </w:rPr>
        <w:t>614 F.3d 495, 498 (8th Cir.2010).</w:t>
      </w:r>
      <w:r w:rsidRPr="0037273A">
        <w:rPr>
          <w:rStyle w:val="apple-converted-space"/>
          <w:rFonts w:cs="Times New Roman"/>
          <w:color w:val="000000"/>
          <w:shd w:val="clear" w:color="auto" w:fill="FFFFFF"/>
        </w:rPr>
        <w:t> </w:t>
      </w:r>
      <w:r w:rsidRPr="0037273A">
        <w:rPr>
          <w:rFonts w:cs="Times New Roman"/>
          <w:color w:val="000000"/>
          <w:shd w:val="clear" w:color="auto" w:fill="FFFFFF"/>
        </w:rPr>
        <w:t>The Court may consider the pleadings themselves, materials embraced by the pleadings, exhibits attached to the pleadings, and matters of public record.</w:t>
      </w:r>
      <w:r w:rsidRPr="0037273A">
        <w:rPr>
          <w:rStyle w:val="apple-converted-space"/>
          <w:rFonts w:cs="Times New Roman"/>
          <w:color w:val="000000"/>
          <w:shd w:val="clear" w:color="auto" w:fill="FFFFFF"/>
        </w:rPr>
        <w:t> </w:t>
      </w:r>
      <w:r w:rsidRPr="0037273A">
        <w:rPr>
          <w:rFonts w:cs="Times New Roman"/>
          <w:i/>
          <w:iCs/>
          <w:shd w:val="clear" w:color="auto" w:fill="FFFFFF"/>
        </w:rPr>
        <w:t>Mills,</w:t>
      </w:r>
      <w:r w:rsidR="00EF6DAD">
        <w:rPr>
          <w:rStyle w:val="apple-converted-space"/>
          <w:rFonts w:cs="Times New Roman"/>
          <w:color w:val="0000FF"/>
          <w:shd w:val="clear" w:color="auto" w:fill="FFFFFF"/>
        </w:rPr>
        <w:t xml:space="preserve"> </w:t>
      </w:r>
      <w:r w:rsidRPr="0037273A">
        <w:rPr>
          <w:rFonts w:cs="Times New Roman"/>
          <w:shd w:val="clear" w:color="auto" w:fill="FFFFFF"/>
        </w:rPr>
        <w:t>614 F.3d at 498</w:t>
      </w:r>
      <w:r w:rsidRPr="0037273A">
        <w:rPr>
          <w:rFonts w:cs="Times New Roman"/>
          <w:color w:val="000000"/>
          <w:shd w:val="clear" w:color="auto" w:fill="FFFFFF"/>
        </w:rPr>
        <w:t>.</w:t>
      </w:r>
    </w:p>
    <w:p w14:paraId="06E5E7B3" w14:textId="77777777" w:rsidR="00ED6707" w:rsidRPr="00ED6707" w:rsidRDefault="00164DA7" w:rsidP="00ED6707">
      <w:pPr>
        <w:pStyle w:val="ListParagraph"/>
        <w:numPr>
          <w:ilvl w:val="0"/>
          <w:numId w:val="3"/>
        </w:numPr>
        <w:spacing w:after="240" w:line="240" w:lineRule="auto"/>
        <w:rPr>
          <w:rFonts w:cs="Times New Roman"/>
          <w:b/>
          <w:color w:val="000000"/>
          <w:shd w:val="clear" w:color="auto" w:fill="FFFFFF"/>
        </w:rPr>
      </w:pPr>
      <w:r>
        <w:rPr>
          <w:rFonts w:cs="Times New Roman"/>
          <w:b/>
          <w:color w:val="000000"/>
          <w:shd w:val="clear" w:color="auto" w:fill="FFFFFF"/>
        </w:rPr>
        <w:t>THE PLAIN LANGUAGE REQUIRES THAT A WRITTEN WORK-MADE-FOR-HIRE AGREEMENT PREDATE CREATION OF THE WORK</w:t>
      </w:r>
    </w:p>
    <w:p w14:paraId="3CF66285" w14:textId="77777777" w:rsidR="00ED6707" w:rsidRDefault="00540B64" w:rsidP="00117A7E">
      <w:pPr>
        <w:spacing w:after="0" w:line="480" w:lineRule="auto"/>
        <w:ind w:firstLine="720"/>
        <w:rPr>
          <w:rFonts w:cs="Times New Roman"/>
          <w:color w:val="000000"/>
          <w:shd w:val="clear" w:color="auto" w:fill="FFFFFF"/>
        </w:rPr>
      </w:pPr>
      <w:r>
        <w:rPr>
          <w:rFonts w:cs="Times New Roman"/>
          <w:color w:val="000000"/>
          <w:shd w:val="clear" w:color="auto" w:fill="FFFFFF"/>
        </w:rPr>
        <w:t>Because the Copyright Act of 1976 articulates work-made-for-hire agreements as vehicle</w:t>
      </w:r>
      <w:r w:rsidR="007C1994">
        <w:rPr>
          <w:rFonts w:cs="Times New Roman"/>
          <w:color w:val="000000"/>
          <w:shd w:val="clear" w:color="auto" w:fill="FFFFFF"/>
        </w:rPr>
        <w:t>s for initial ownership, the written agreement must necessarily be made prior to the creation of the work.</w:t>
      </w:r>
      <w:r w:rsidR="00ED6707">
        <w:rPr>
          <w:rFonts w:cs="Times New Roman"/>
          <w:color w:val="000000"/>
          <w:shd w:val="clear" w:color="auto" w:fill="FFFFFF"/>
        </w:rPr>
        <w:t xml:space="preserve"> Plaintiff alleges that the “Work-Made-For-Hire Agreement” signed five days after the creation of Ms. Lime’s screenplay operates as an effective vesting of rights.</w:t>
      </w:r>
      <w:r w:rsidR="00134D4F">
        <w:rPr>
          <w:rFonts w:cs="Times New Roman"/>
          <w:color w:val="000000"/>
          <w:shd w:val="clear" w:color="auto" w:fill="FFFFFF"/>
        </w:rPr>
        <w:t xml:space="preserve"> When </w:t>
      </w:r>
      <w:r w:rsidR="00134D4F">
        <w:rPr>
          <w:rFonts w:cs="Times New Roman"/>
          <w:color w:val="000000"/>
          <w:shd w:val="clear" w:color="auto" w:fill="FFFFFF"/>
        </w:rPr>
        <w:lastRenderedPageBreak/>
        <w:t xml:space="preserve">the plain language of a statute resolves a dispute, courts use that language first to evaluate competing claims. </w:t>
      </w:r>
      <w:r w:rsidR="00843E24">
        <w:rPr>
          <w:rFonts w:cs="Times New Roman"/>
          <w:i/>
          <w:color w:val="000000"/>
          <w:shd w:val="clear" w:color="auto" w:fill="FFFFFF"/>
        </w:rPr>
        <w:t xml:space="preserve">Caminetti v. United </w:t>
      </w:r>
      <w:r w:rsidR="00843E24" w:rsidRPr="00843E24">
        <w:rPr>
          <w:rFonts w:cs="Times New Roman"/>
          <w:color w:val="000000"/>
          <w:shd w:val="clear" w:color="auto" w:fill="FFFFFF"/>
        </w:rPr>
        <w:t>States</w:t>
      </w:r>
      <w:r w:rsidR="00843E24">
        <w:rPr>
          <w:rFonts w:cs="Times New Roman"/>
          <w:color w:val="000000"/>
          <w:shd w:val="clear" w:color="auto" w:fill="FFFFFF"/>
        </w:rPr>
        <w:t xml:space="preserve">, 242 U.S. 470, 485 (1917). </w:t>
      </w:r>
      <w:r w:rsidR="00134D4F" w:rsidRPr="00843E24">
        <w:rPr>
          <w:rFonts w:cs="Times New Roman"/>
          <w:color w:val="000000"/>
          <w:shd w:val="clear" w:color="auto" w:fill="FFFFFF"/>
        </w:rPr>
        <w:t>In</w:t>
      </w:r>
      <w:r w:rsidR="00134D4F">
        <w:rPr>
          <w:rFonts w:cs="Times New Roman"/>
          <w:color w:val="000000"/>
          <w:shd w:val="clear" w:color="auto" w:fill="FFFFFF"/>
        </w:rPr>
        <w:t xml:space="preserve"> the present case, the Copyright Act </w:t>
      </w:r>
      <w:r w:rsidR="0018795A">
        <w:rPr>
          <w:rFonts w:cs="Times New Roman"/>
          <w:color w:val="000000"/>
          <w:shd w:val="clear" w:color="auto" w:fill="FFFFFF"/>
        </w:rPr>
        <w:t>created the category of “work made for hire” to govern initial ownership rights and the categorization of a work upon creation. By using the future-tense “shall” and separating the sections on initial ownership from sections on ownership transfer</w:t>
      </w:r>
      <w:r w:rsidR="00C62206">
        <w:rPr>
          <w:rFonts w:cs="Times New Roman"/>
          <w:color w:val="000000"/>
          <w:shd w:val="clear" w:color="auto" w:fill="FFFFFF"/>
        </w:rPr>
        <w:t>, the statute clearly prohibits work-made-for-hire agreements from retroactively transferring ownership of a copyright.</w:t>
      </w:r>
    </w:p>
    <w:p w14:paraId="532E4D66" w14:textId="77777777" w:rsidR="007C1994" w:rsidRPr="0092794F" w:rsidRDefault="00ED6707" w:rsidP="00ED6707">
      <w:pPr>
        <w:spacing w:after="240" w:line="240" w:lineRule="auto"/>
        <w:ind w:left="288" w:hanging="288"/>
        <w:rPr>
          <w:rFonts w:cs="Times New Roman"/>
          <w:b/>
          <w:color w:val="000000"/>
          <w:shd w:val="clear" w:color="auto" w:fill="FFFFFF"/>
        </w:rPr>
      </w:pPr>
      <w:r>
        <w:rPr>
          <w:rFonts w:cs="Times New Roman"/>
          <w:b/>
          <w:color w:val="000000"/>
          <w:shd w:val="clear" w:color="auto" w:fill="FFFFFF"/>
        </w:rPr>
        <w:t>A</w:t>
      </w:r>
      <w:r w:rsidR="007C1994" w:rsidRPr="0092794F">
        <w:rPr>
          <w:rFonts w:cs="Times New Roman"/>
          <w:b/>
          <w:color w:val="000000"/>
          <w:shd w:val="clear" w:color="auto" w:fill="FFFFFF"/>
        </w:rPr>
        <w:t xml:space="preserve">. </w:t>
      </w:r>
      <w:r w:rsidR="00117A7E">
        <w:rPr>
          <w:rFonts w:cs="Times New Roman"/>
          <w:b/>
          <w:smallCaps/>
          <w:color w:val="000000"/>
          <w:shd w:val="clear" w:color="auto" w:fill="FFFFFF"/>
        </w:rPr>
        <w:t>The Plain Language of § 101</w:t>
      </w:r>
      <w:r w:rsidR="00BA3664" w:rsidRPr="00BA3664">
        <w:rPr>
          <w:rFonts w:cs="Times New Roman"/>
          <w:b/>
          <w:smallCaps/>
          <w:color w:val="000000"/>
          <w:shd w:val="clear" w:color="auto" w:fill="FFFFFF"/>
        </w:rPr>
        <w:t xml:space="preserve"> Requires a Written Agreement to Precede Any Work Intended to be Made a Work For Hire</w:t>
      </w:r>
    </w:p>
    <w:p w14:paraId="325C2E07" w14:textId="77777777" w:rsidR="007C1994" w:rsidRDefault="007C1994" w:rsidP="003813B2">
      <w:pPr>
        <w:spacing w:after="0" w:line="480" w:lineRule="auto"/>
        <w:rPr>
          <w:rFonts w:cs="Times New Roman"/>
          <w:color w:val="000000"/>
          <w:shd w:val="clear" w:color="auto" w:fill="FFFFFF"/>
        </w:rPr>
      </w:pPr>
      <w:r>
        <w:rPr>
          <w:rFonts w:cs="Times New Roman"/>
          <w:color w:val="000000"/>
          <w:shd w:val="clear" w:color="auto" w:fill="FFFFFF"/>
        </w:rPr>
        <w:tab/>
        <w:t>“</w:t>
      </w:r>
      <w:r w:rsidR="00C62206">
        <w:rPr>
          <w:rFonts w:cs="Times New Roman"/>
          <w:color w:val="000000"/>
          <w:shd w:val="clear" w:color="auto" w:fill="FFFFFF"/>
        </w:rPr>
        <w:t>[</w:t>
      </w:r>
      <w:r>
        <w:rPr>
          <w:rFonts w:cs="Times New Roman"/>
          <w:color w:val="000000"/>
          <w:shd w:val="clear" w:color="auto" w:fill="FFFFFF"/>
        </w:rPr>
        <w:t>I</w:t>
      </w:r>
      <w:r w:rsidR="00C62206">
        <w:rPr>
          <w:rFonts w:cs="Times New Roman"/>
          <w:color w:val="000000"/>
          <w:shd w:val="clear" w:color="auto" w:fill="FFFFFF"/>
        </w:rPr>
        <w:t>]</w:t>
      </w:r>
      <w:r>
        <w:rPr>
          <w:rFonts w:cs="Times New Roman"/>
          <w:color w:val="000000"/>
          <w:shd w:val="clear" w:color="auto" w:fill="FFFFFF"/>
        </w:rPr>
        <w:t>t is appropriate to assume that the ordinary meaning of the language that Congress employed ‘accurate</w:t>
      </w:r>
      <w:r w:rsidR="00134D4F">
        <w:rPr>
          <w:rFonts w:cs="Times New Roman"/>
          <w:color w:val="000000"/>
          <w:shd w:val="clear" w:color="auto" w:fill="FFFFFF"/>
        </w:rPr>
        <w:t>ly</w:t>
      </w:r>
      <w:r>
        <w:rPr>
          <w:rFonts w:cs="Times New Roman"/>
          <w:color w:val="000000"/>
          <w:shd w:val="clear" w:color="auto" w:fill="FFFFFF"/>
        </w:rPr>
        <w:t xml:space="preserve"> expresses the legislative purpose.’” </w:t>
      </w:r>
      <w:r>
        <w:rPr>
          <w:rFonts w:cs="Times New Roman"/>
          <w:i/>
          <w:color w:val="000000"/>
          <w:shd w:val="clear" w:color="auto" w:fill="FFFFFF"/>
        </w:rPr>
        <w:t>Mills Music, Inc. v. Snyder</w:t>
      </w:r>
      <w:r>
        <w:rPr>
          <w:rFonts w:cs="Times New Roman"/>
          <w:color w:val="000000"/>
          <w:shd w:val="clear" w:color="auto" w:fill="FFFFFF"/>
        </w:rPr>
        <w:t>, 469 U.S. 153, 164 (1985)</w:t>
      </w:r>
      <w:r w:rsidR="00134D4F">
        <w:rPr>
          <w:rFonts w:cs="Times New Roman"/>
          <w:color w:val="000000"/>
          <w:shd w:val="clear" w:color="auto" w:fill="FFFFFF"/>
        </w:rPr>
        <w:t xml:space="preserve"> </w:t>
      </w:r>
      <w:r>
        <w:rPr>
          <w:rFonts w:cs="Times New Roman"/>
          <w:color w:val="000000"/>
          <w:shd w:val="clear" w:color="auto" w:fill="FFFFFF"/>
        </w:rPr>
        <w:t>(footnote omitted).</w:t>
      </w:r>
      <w:r w:rsidR="00134D4F">
        <w:rPr>
          <w:rFonts w:cs="Times New Roman"/>
          <w:color w:val="000000"/>
          <w:shd w:val="clear" w:color="auto" w:fill="FFFFFF"/>
        </w:rPr>
        <w:t xml:space="preserve"> Section 101</w:t>
      </w:r>
      <w:r w:rsidR="00117A7E">
        <w:rPr>
          <w:rFonts w:cs="Times New Roman"/>
          <w:color w:val="000000"/>
          <w:shd w:val="clear" w:color="auto" w:fill="FFFFFF"/>
        </w:rPr>
        <w:t>(2) of the Copyright Act defines a “work made for hire” as</w:t>
      </w:r>
      <w:r>
        <w:rPr>
          <w:rFonts w:cs="Times New Roman"/>
          <w:color w:val="000000"/>
          <w:shd w:val="clear" w:color="auto" w:fill="FFFFFF"/>
        </w:rPr>
        <w:t>:</w:t>
      </w:r>
    </w:p>
    <w:p w14:paraId="155E9292" w14:textId="77777777" w:rsidR="007C1994" w:rsidRDefault="00117A7E" w:rsidP="00117A7E">
      <w:pPr>
        <w:spacing w:after="0" w:line="240" w:lineRule="auto"/>
        <w:ind w:left="720" w:right="720"/>
      </w:pPr>
      <w:r w:rsidRPr="00117A7E">
        <w:rPr>
          <w:rStyle w:val="Strong"/>
          <w:b w:val="0"/>
        </w:rPr>
        <w:t xml:space="preserve"> </w:t>
      </w:r>
      <w:r w:rsidR="007C1994" w:rsidRPr="00117A7E">
        <w:rPr>
          <w:rStyle w:val="Strong"/>
          <w:b w:val="0"/>
        </w:rPr>
        <w:t>(2)</w:t>
      </w:r>
      <w:r w:rsidR="007C1994">
        <w:t xml:space="preserve">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w:t>
      </w:r>
    </w:p>
    <w:p w14:paraId="68299E37" w14:textId="77777777" w:rsidR="00117A7E" w:rsidRDefault="00117A7E" w:rsidP="00117A7E">
      <w:pPr>
        <w:spacing w:after="0" w:line="240" w:lineRule="auto"/>
        <w:ind w:left="720" w:right="720"/>
      </w:pPr>
    </w:p>
    <w:p w14:paraId="1FA78025" w14:textId="77777777" w:rsidR="003813B2" w:rsidRDefault="003813B2" w:rsidP="007C1994">
      <w:pPr>
        <w:spacing w:after="0" w:line="480" w:lineRule="auto"/>
        <w:rPr>
          <w:rFonts w:cs="Times New Roman"/>
          <w:color w:val="000000"/>
          <w:shd w:val="clear" w:color="auto" w:fill="FFFFFF"/>
        </w:rPr>
      </w:pPr>
      <w:r>
        <w:rPr>
          <w:rFonts w:cs="Times New Roman"/>
          <w:color w:val="000000"/>
          <w:shd w:val="clear" w:color="auto" w:fill="FFFFFF"/>
        </w:rPr>
        <w:tab/>
      </w:r>
      <w:r w:rsidR="006A7DF4">
        <w:rPr>
          <w:rFonts w:cs="Times New Roman"/>
          <w:color w:val="000000"/>
          <w:shd w:val="clear" w:color="auto" w:fill="FFFFFF"/>
        </w:rPr>
        <w:t xml:space="preserve">To apply the plain meaning of § 101, </w:t>
      </w:r>
      <w:r>
        <w:rPr>
          <w:rFonts w:cs="Times New Roman"/>
          <w:color w:val="000000"/>
          <w:shd w:val="clear" w:color="auto" w:fill="FFFFFF"/>
        </w:rPr>
        <w:t xml:space="preserve">the Court must take the phrase “shall be considered” to mean that the written instrument must precede the work. </w:t>
      </w:r>
      <w:r w:rsidR="006A7DF4">
        <w:rPr>
          <w:rFonts w:cs="Times New Roman"/>
          <w:color w:val="000000"/>
          <w:shd w:val="clear" w:color="auto" w:fill="FFFFFF"/>
        </w:rPr>
        <w:t>“Shall”</w:t>
      </w:r>
      <w:r w:rsidR="003A651C">
        <w:rPr>
          <w:rFonts w:cs="Times New Roman"/>
          <w:color w:val="000000"/>
          <w:shd w:val="clear" w:color="auto" w:fill="FFFFFF"/>
        </w:rPr>
        <w:t xml:space="preserve"> generally mean</w:t>
      </w:r>
      <w:r w:rsidR="006A7DF4">
        <w:rPr>
          <w:rFonts w:cs="Times New Roman"/>
          <w:color w:val="000000"/>
          <w:shd w:val="clear" w:color="auto" w:fill="FFFFFF"/>
        </w:rPr>
        <w:t>s</w:t>
      </w:r>
      <w:r w:rsidR="003A651C">
        <w:rPr>
          <w:rFonts w:cs="Times New Roman"/>
          <w:color w:val="000000"/>
          <w:shd w:val="clear" w:color="auto" w:fill="FFFFFF"/>
        </w:rPr>
        <w:t xml:space="preserve"> “w</w:t>
      </w:r>
      <w:r w:rsidR="00D52A9C">
        <w:rPr>
          <w:rFonts w:cs="Times New Roman"/>
          <w:color w:val="000000"/>
          <w:shd w:val="clear" w:color="auto" w:fill="FFFFFF"/>
        </w:rPr>
        <w:t>ill (as a future-tense verb)</w:t>
      </w:r>
      <w:r w:rsidR="003A651C">
        <w:rPr>
          <w:rFonts w:cs="Times New Roman"/>
          <w:color w:val="000000"/>
          <w:shd w:val="clear" w:color="auto" w:fill="FFFFFF"/>
        </w:rPr>
        <w:t>.</w:t>
      </w:r>
      <w:r w:rsidR="00D52A9C">
        <w:rPr>
          <w:rFonts w:cs="Times New Roman"/>
          <w:color w:val="000000"/>
          <w:shd w:val="clear" w:color="auto" w:fill="FFFFFF"/>
        </w:rPr>
        <w:t xml:space="preserve">” </w:t>
      </w:r>
      <w:r w:rsidR="00D52A9C">
        <w:rPr>
          <w:rFonts w:cs="Times New Roman"/>
          <w:i/>
          <w:color w:val="000000"/>
          <w:shd w:val="clear" w:color="auto" w:fill="FFFFFF"/>
        </w:rPr>
        <w:t>Black’s Law Dictionary</w:t>
      </w:r>
      <w:r w:rsidR="00D52A9C">
        <w:rPr>
          <w:rFonts w:cs="Times New Roman"/>
          <w:color w:val="000000"/>
          <w:shd w:val="clear" w:color="auto" w:fill="FFFFFF"/>
        </w:rPr>
        <w:t xml:space="preserve"> (9th ed. 2009). Constructing “shall” as a future-tense verb yields a sentence stating that a written instrument, at the time of its signing, vests in the employer/commissioner the ownership and copyright rights. </w:t>
      </w:r>
      <w:r w:rsidR="00674266">
        <w:rPr>
          <w:rFonts w:cs="Times New Roman"/>
          <w:color w:val="000000"/>
          <w:shd w:val="clear" w:color="auto" w:fill="FFFFFF"/>
        </w:rPr>
        <w:t>The parties are stating, in a binding written instrument, that the work, when created, belongs to the party which commissioned it. If n</w:t>
      </w:r>
      <w:r w:rsidR="00F85418">
        <w:rPr>
          <w:rFonts w:cs="Times New Roman"/>
          <w:color w:val="000000"/>
          <w:shd w:val="clear" w:color="auto" w:fill="FFFFFF"/>
        </w:rPr>
        <w:t xml:space="preserve">o written instrument exists, copyright ownership “vests initially in the author or authors of the work.” 17 U.S.C. § 201(a). At this point, only a transfer of ownership </w:t>
      </w:r>
      <w:r w:rsidR="00F85418">
        <w:rPr>
          <w:rFonts w:cs="Times New Roman"/>
          <w:color w:val="000000"/>
          <w:shd w:val="clear" w:color="auto" w:fill="FFFFFF"/>
        </w:rPr>
        <w:lastRenderedPageBreak/>
        <w:t xml:space="preserve">document can allow Plaintiff to acquire any copyright ownership. </w:t>
      </w:r>
      <w:r w:rsidR="00D52A9C">
        <w:rPr>
          <w:rFonts w:cs="Times New Roman"/>
          <w:color w:val="000000"/>
          <w:shd w:val="clear" w:color="auto" w:fill="FFFFFF"/>
        </w:rPr>
        <w:t xml:space="preserve">Because </w:t>
      </w:r>
      <w:r w:rsidR="006A7DF4">
        <w:rPr>
          <w:rFonts w:cs="Times New Roman"/>
          <w:color w:val="000000"/>
          <w:shd w:val="clear" w:color="auto" w:fill="FFFFFF"/>
        </w:rPr>
        <w:t>Ms. Lime had not signed any document at the time she created the screenplay, the initial ownership rights vest in her and can</w:t>
      </w:r>
      <w:r w:rsidR="00F85418">
        <w:rPr>
          <w:rFonts w:cs="Times New Roman"/>
          <w:color w:val="000000"/>
          <w:shd w:val="clear" w:color="auto" w:fill="FFFFFF"/>
        </w:rPr>
        <w:t xml:space="preserve">not be transferred </w:t>
      </w:r>
      <w:r w:rsidR="00117A7E">
        <w:rPr>
          <w:rFonts w:cs="Times New Roman"/>
          <w:color w:val="000000"/>
          <w:shd w:val="clear" w:color="auto" w:fill="FFFFFF"/>
        </w:rPr>
        <w:t>through</w:t>
      </w:r>
      <w:r w:rsidR="00F85418">
        <w:rPr>
          <w:rFonts w:cs="Times New Roman"/>
          <w:color w:val="000000"/>
          <w:shd w:val="clear" w:color="auto" w:fill="FFFFFF"/>
        </w:rPr>
        <w:t xml:space="preserve"> a work-made-for-hire agreement</w:t>
      </w:r>
      <w:r w:rsidR="00AD48CC">
        <w:rPr>
          <w:rFonts w:cs="Times New Roman"/>
          <w:color w:val="000000"/>
          <w:shd w:val="clear" w:color="auto" w:fill="FFFFFF"/>
        </w:rPr>
        <w:t>.</w:t>
      </w:r>
      <w:r w:rsidR="00F85418">
        <w:rPr>
          <w:rFonts w:cs="Times New Roman"/>
          <w:color w:val="000000"/>
          <w:shd w:val="clear" w:color="auto" w:fill="FFFFFF"/>
        </w:rPr>
        <w:t xml:space="preserve"> Barring a transfer agreement, the court must find that copyright ownership still rests with Ms. Lime.</w:t>
      </w:r>
    </w:p>
    <w:p w14:paraId="77EBCEF3" w14:textId="77777777" w:rsidR="00F85418" w:rsidRPr="00174941" w:rsidRDefault="00200D15" w:rsidP="007C1994">
      <w:pPr>
        <w:spacing w:after="0" w:line="480" w:lineRule="auto"/>
      </w:pPr>
      <w:r>
        <w:rPr>
          <w:rFonts w:cs="Times New Roman"/>
          <w:color w:val="000000"/>
          <w:shd w:val="clear" w:color="auto" w:fill="FFFFFF"/>
        </w:rPr>
        <w:tab/>
        <w:t xml:space="preserve">Plaintiff </w:t>
      </w:r>
      <w:r w:rsidR="00F85418">
        <w:rPr>
          <w:rFonts w:cs="Times New Roman"/>
          <w:color w:val="000000"/>
          <w:shd w:val="clear" w:color="auto" w:fill="FFFFFF"/>
        </w:rPr>
        <w:t>ma</w:t>
      </w:r>
      <w:r>
        <w:rPr>
          <w:rFonts w:cs="Times New Roman"/>
          <w:color w:val="000000"/>
          <w:shd w:val="clear" w:color="auto" w:fill="FFFFFF"/>
        </w:rPr>
        <w:t>y attempt to argue that</w:t>
      </w:r>
      <w:r w:rsidR="00F85418">
        <w:rPr>
          <w:rFonts w:cs="Times New Roman"/>
          <w:color w:val="000000"/>
          <w:shd w:val="clear" w:color="auto" w:fill="FFFFFF"/>
        </w:rPr>
        <w:t xml:space="preserve"> “shall” was meant in a non-tempo</w:t>
      </w:r>
      <w:r w:rsidR="00D23097">
        <w:rPr>
          <w:rFonts w:cs="Times New Roman"/>
          <w:color w:val="000000"/>
          <w:shd w:val="clear" w:color="auto" w:fill="FFFFFF"/>
        </w:rPr>
        <w:t>ral context, and merely suggest</w:t>
      </w:r>
      <w:r w:rsidR="00F85418">
        <w:rPr>
          <w:rFonts w:cs="Times New Roman"/>
          <w:color w:val="000000"/>
          <w:shd w:val="clear" w:color="auto" w:fill="FFFFFF"/>
        </w:rPr>
        <w:t xml:space="preserve"> the </w:t>
      </w:r>
      <w:r w:rsidR="00E47252">
        <w:rPr>
          <w:rFonts w:cs="Times New Roman"/>
          <w:color w:val="000000"/>
          <w:shd w:val="clear" w:color="auto" w:fill="FFFFFF"/>
        </w:rPr>
        <w:t>requirement of work-made-for</w:t>
      </w:r>
      <w:r w:rsidR="002B2CE3">
        <w:rPr>
          <w:rFonts w:cs="Times New Roman"/>
          <w:color w:val="000000"/>
          <w:shd w:val="clear" w:color="auto" w:fill="FFFFFF"/>
        </w:rPr>
        <w:t>-hire recognition. The C</w:t>
      </w:r>
      <w:r w:rsidR="00E47252">
        <w:rPr>
          <w:rFonts w:cs="Times New Roman"/>
          <w:color w:val="000000"/>
          <w:shd w:val="clear" w:color="auto" w:fill="FFFFFF"/>
        </w:rPr>
        <w:t xml:space="preserve">ourt should reject this interpretation for two reasons. First, reading the plain language of § 101 without a temporal element negates the need for a written agreement at all. If Plaintiff’s interpretation is accepted, parties may sign a work-made-for-hire agreement weeks, months, or years after the work is created, yet lay claim to initial ownership rights from the date of creation; that creates a period between creation of the work and creation of the written instrument where, under Plaintiff’s proposed interpretation, the non-creating party owns the copyright despite the lack of a written work-made-for-hire agreement. This directly conflicts with the plain language of the section. Second, Plaintiff’s interpretation mutates work-made-for-hire agreements from expressions of initial ownership into transfer agreements. </w:t>
      </w:r>
      <w:r w:rsidR="00174941">
        <w:rPr>
          <w:rFonts w:cs="Times New Roman"/>
          <w:color w:val="000000"/>
          <w:shd w:val="clear" w:color="auto" w:fill="FFFFFF"/>
        </w:rPr>
        <w:t xml:space="preserve">Work-made-for-hire agreements are used to determine only initial ownership of a copyright. </w:t>
      </w:r>
      <w:r w:rsidR="002B2CE3">
        <w:rPr>
          <w:i/>
        </w:rPr>
        <w:t>Cmty.</w:t>
      </w:r>
      <w:r w:rsidR="00174941">
        <w:rPr>
          <w:i/>
        </w:rPr>
        <w:t xml:space="preserve"> for Creative Non-Violence v. Reid</w:t>
      </w:r>
      <w:r w:rsidR="00174941">
        <w:t xml:space="preserve">, 490 U.S. 730, 737 (1989). </w:t>
      </w:r>
      <w:r w:rsidR="00E47252">
        <w:rPr>
          <w:rFonts w:cs="Times New Roman"/>
          <w:color w:val="000000"/>
          <w:shd w:val="clear" w:color="auto" w:fill="FFFFFF"/>
        </w:rPr>
        <w:t xml:space="preserve">The organization </w:t>
      </w:r>
      <w:r w:rsidR="002B2CE3">
        <w:rPr>
          <w:rFonts w:cs="Times New Roman"/>
          <w:color w:val="000000"/>
          <w:shd w:val="clear" w:color="auto" w:fill="FFFFFF"/>
        </w:rPr>
        <w:t>of the Copyright Act</w:t>
      </w:r>
      <w:r w:rsidR="00E47252">
        <w:rPr>
          <w:rFonts w:cs="Times New Roman"/>
          <w:color w:val="000000"/>
          <w:shd w:val="clear" w:color="auto" w:fill="FFFFFF"/>
        </w:rPr>
        <w:t xml:space="preserve"> distinctly separates the two ideas of ownership (initial and transferred) in an effort to provide clarity of copyright ownership</w:t>
      </w:r>
      <w:r w:rsidR="00DC47D0">
        <w:rPr>
          <w:rFonts w:cs="Times New Roman"/>
          <w:color w:val="000000"/>
          <w:shd w:val="clear" w:color="auto" w:fill="FFFFFF"/>
        </w:rPr>
        <w:t>; one who creates a work is the initial owner, unless they previously assign initial ownership rights to another party. Should the creator wish to transfer ownership rights, they may do so via a transfer agreement.</w:t>
      </w:r>
      <w:r w:rsidR="009D62A4">
        <w:rPr>
          <w:rFonts w:cs="Times New Roman"/>
          <w:color w:val="000000"/>
          <w:shd w:val="clear" w:color="auto" w:fill="FFFFFF"/>
        </w:rPr>
        <w:t xml:space="preserve"> The Copyright Act covers transfers in § 204 (a), stating that “a transfer of copyright ownership…is not valid </w:t>
      </w:r>
      <w:r w:rsidR="009D62A4">
        <w:rPr>
          <w:rFonts w:cs="Times New Roman"/>
          <w:i/>
          <w:color w:val="000000"/>
          <w:shd w:val="clear" w:color="auto" w:fill="FFFFFF"/>
        </w:rPr>
        <w:t>unless an instrument of conveyance…is in writing</w:t>
      </w:r>
      <w:r w:rsidR="009D62A4">
        <w:rPr>
          <w:rFonts w:cs="Times New Roman"/>
          <w:color w:val="000000"/>
          <w:shd w:val="clear" w:color="auto" w:fill="FFFFFF"/>
        </w:rPr>
        <w:t xml:space="preserve"> and signed by the owners of the rights conveyed.”</w:t>
      </w:r>
      <w:r w:rsidR="00DC47D0">
        <w:rPr>
          <w:rFonts w:cs="Times New Roman"/>
          <w:color w:val="000000"/>
          <w:shd w:val="clear" w:color="auto" w:fill="FFFFFF"/>
        </w:rPr>
        <w:t xml:space="preserve"> Just as the language of § 101 requires “express” agreement, </w:t>
      </w:r>
      <w:r w:rsidR="00DC47D0">
        <w:rPr>
          <w:rFonts w:cs="Times New Roman"/>
          <w:color w:val="000000"/>
          <w:shd w:val="clear" w:color="auto" w:fill="FFFFFF"/>
        </w:rPr>
        <w:lastRenderedPageBreak/>
        <w:t xml:space="preserve">courts hold that ownership transfer must be similarly clear and explicit. </w:t>
      </w:r>
      <w:r w:rsidR="00DC47D0">
        <w:rPr>
          <w:rFonts w:cs="Times New Roman"/>
          <w:i/>
          <w:color w:val="000000"/>
          <w:shd w:val="clear" w:color="auto" w:fill="FFFFFF"/>
        </w:rPr>
        <w:t>Gladwell Gov’t Services, Inc. v. County of Marin</w:t>
      </w:r>
      <w:r w:rsidR="00DC47D0">
        <w:rPr>
          <w:rFonts w:cs="Times New Roman"/>
          <w:color w:val="000000"/>
          <w:shd w:val="clear" w:color="auto" w:fill="FFFFFF"/>
        </w:rPr>
        <w:t>, 265 F. App’x 624, 626 (9th Cir. 2008) (unpublished) (upholding the simple rule that a desire to transfer a copyright requires a “piece of paper saying so.”).</w:t>
      </w:r>
    </w:p>
    <w:p w14:paraId="2C6F335E" w14:textId="77777777" w:rsidR="00AD48CC" w:rsidRDefault="00ED6707" w:rsidP="00ED6707">
      <w:pPr>
        <w:spacing w:after="240" w:line="240" w:lineRule="auto"/>
        <w:ind w:left="288" w:hanging="288"/>
        <w:rPr>
          <w:rFonts w:cs="Times New Roman"/>
          <w:b/>
          <w:color w:val="000000"/>
          <w:shd w:val="clear" w:color="auto" w:fill="FFFFFF"/>
        </w:rPr>
      </w:pPr>
      <w:r>
        <w:rPr>
          <w:rFonts w:cs="Times New Roman"/>
          <w:b/>
          <w:color w:val="000000"/>
          <w:shd w:val="clear" w:color="auto" w:fill="FFFFFF"/>
        </w:rPr>
        <w:t>B</w:t>
      </w:r>
      <w:r w:rsidR="00AD48CC">
        <w:rPr>
          <w:rFonts w:cs="Times New Roman"/>
          <w:b/>
          <w:color w:val="000000"/>
          <w:shd w:val="clear" w:color="auto" w:fill="FFFFFF"/>
        </w:rPr>
        <w:t xml:space="preserve">. </w:t>
      </w:r>
      <w:r w:rsidR="00196850" w:rsidRPr="00196850">
        <w:rPr>
          <w:rFonts w:cs="Times New Roman"/>
          <w:b/>
          <w:smallCaps/>
          <w:color w:val="000000"/>
          <w:shd w:val="clear" w:color="auto" w:fill="FFFFFF"/>
        </w:rPr>
        <w:t>Work-Made-For-Hire Agreements Concern Initial Ownership Rights; OGS’s Interpretation Requires a Transfer of Ownership Rights Not Governed by Work-Made-For-Hire Sections</w:t>
      </w:r>
    </w:p>
    <w:p w14:paraId="411276FD" w14:textId="77777777" w:rsidR="0043291C" w:rsidRPr="0043291C" w:rsidRDefault="0043291C" w:rsidP="0043291C">
      <w:pPr>
        <w:spacing w:after="0" w:line="480" w:lineRule="auto"/>
        <w:ind w:firstLine="720"/>
      </w:pPr>
      <w:r>
        <w:rPr>
          <w:rFonts w:cs="Times New Roman"/>
          <w:color w:val="000000"/>
          <w:shd w:val="clear" w:color="auto" w:fill="FFFFFF"/>
        </w:rPr>
        <w:t>“</w:t>
      </w:r>
      <w:r w:rsidR="00903961">
        <w:t>A. . .</w:t>
      </w:r>
      <w:r>
        <w:t>cardinal doctrine of statu</w:t>
      </w:r>
      <w:r w:rsidR="00903961">
        <w:t xml:space="preserve">tory interpretation. . . </w:t>
      </w:r>
      <w:r>
        <w:t xml:space="preserve">is the presumption that in all enactments every choice of words is purposeful, manifesting legislative intent to convey particular meaning, and that statutory use of different terms evinces intent to express different meanings.” </w:t>
      </w:r>
      <w:r w:rsidRPr="0072522B">
        <w:rPr>
          <w:i/>
        </w:rPr>
        <w:t>Union of Needle</w:t>
      </w:r>
      <w:r>
        <w:rPr>
          <w:i/>
        </w:rPr>
        <w:t>trades, Indus. &amp; Textile Emp’</w:t>
      </w:r>
      <w:r w:rsidRPr="0072522B">
        <w:rPr>
          <w:i/>
        </w:rPr>
        <w:t>rs, AFL-CIO, CLC v. U.S. I.N.S.</w:t>
      </w:r>
      <w:r>
        <w:t xml:space="preserve">, 202 F. Supp. 2d 265, 271 (S.D.N.Y. 2002). Courts should tend to accept the interpretation which gives meaning to every word of a statute. </w:t>
      </w:r>
      <w:r w:rsidR="00165387">
        <w:rPr>
          <w:i/>
        </w:rPr>
        <w:t xml:space="preserve">In re </w:t>
      </w:r>
      <w:r w:rsidR="00165387" w:rsidRPr="00165387">
        <w:rPr>
          <w:i/>
        </w:rPr>
        <w:t>Armstrong</w:t>
      </w:r>
      <w:r w:rsidR="00165387">
        <w:t>, 395 B.R. 127, 132 (E.D. Wash. 2008).</w:t>
      </w:r>
      <w:r w:rsidR="00165387">
        <w:rPr>
          <w:i/>
        </w:rPr>
        <w:t xml:space="preserve"> </w:t>
      </w:r>
      <w:r w:rsidRPr="00165387">
        <w:t>Where</w:t>
      </w:r>
      <w:r>
        <w:t xml:space="preserve"> possible, every word must be given effect, and no part is to be held meaningless if it can be reconciled with the rest of the statute. In interpreting the Copyright Act, then, the Court should give credence to the view that written instruments vesting initial ownership rights cannot operate to transfer ownership rights; to do otherwise would render the legislature’s separation superfluous.</w:t>
      </w:r>
    </w:p>
    <w:p w14:paraId="7C6B9994" w14:textId="77777777" w:rsidR="0072522B" w:rsidRDefault="00DF2674" w:rsidP="0043291C">
      <w:pPr>
        <w:spacing w:after="0" w:line="480" w:lineRule="auto"/>
        <w:ind w:firstLine="720"/>
        <w:rPr>
          <w:rFonts w:cs="Times New Roman"/>
          <w:color w:val="000000"/>
          <w:shd w:val="clear" w:color="auto" w:fill="FFFFFF"/>
        </w:rPr>
      </w:pPr>
      <w:r>
        <w:rPr>
          <w:rFonts w:cs="Times New Roman"/>
          <w:color w:val="000000"/>
          <w:shd w:val="clear" w:color="auto" w:fill="FFFFFF"/>
        </w:rPr>
        <w:t>The Copyright Act of 1976 presents work-made-for-hire agreements as a method for vesting initial ownership rights in “the employer or other person for whom the work was prepared</w:t>
      </w:r>
      <w:r w:rsidR="00E43C5E">
        <w:rPr>
          <w:rFonts w:cs="Times New Roman"/>
          <w:color w:val="000000"/>
          <w:shd w:val="clear" w:color="auto" w:fill="FFFFFF"/>
        </w:rPr>
        <w:t xml:space="preserve"> . . . </w:t>
      </w:r>
      <w:r>
        <w:rPr>
          <w:rFonts w:cs="Times New Roman"/>
          <w:color w:val="000000"/>
          <w:shd w:val="clear" w:color="auto" w:fill="FFFFFF"/>
        </w:rPr>
        <w:t xml:space="preserve">” 17 U.S.C. §201(b). Indeed, even </w:t>
      </w:r>
      <w:r w:rsidR="006D780E">
        <w:rPr>
          <w:rFonts w:cs="Times New Roman"/>
          <w:color w:val="000000"/>
          <w:shd w:val="clear" w:color="auto" w:fill="FFFFFF"/>
        </w:rPr>
        <w:t>Plaintiff</w:t>
      </w:r>
      <w:r>
        <w:rPr>
          <w:rFonts w:cs="Times New Roman"/>
          <w:color w:val="000000"/>
          <w:shd w:val="clear" w:color="auto" w:fill="FFFFFF"/>
        </w:rPr>
        <w:t xml:space="preserve">’s complaint shows a distinct understanding that it thought itself to be the initial owner and author of Ms. Lime’s screenplay. Compl. ¶ 16. </w:t>
      </w:r>
      <w:r w:rsidR="00C35E53">
        <w:rPr>
          <w:rFonts w:cs="Times New Roman"/>
          <w:color w:val="000000"/>
          <w:shd w:val="clear" w:color="auto" w:fill="FFFFFF"/>
        </w:rPr>
        <w:t>Plaintiff</w:t>
      </w:r>
      <w:r>
        <w:rPr>
          <w:rFonts w:cs="Times New Roman"/>
          <w:color w:val="000000"/>
          <w:shd w:val="clear" w:color="auto" w:fill="FFFFFF"/>
        </w:rPr>
        <w:t xml:space="preserve"> cannot acquire any ownership rights, though, until the execution of a written agreement, as ou</w:t>
      </w:r>
      <w:r w:rsidR="000D21CF">
        <w:rPr>
          <w:rFonts w:cs="Times New Roman"/>
          <w:color w:val="000000"/>
          <w:shd w:val="clear" w:color="auto" w:fill="FFFFFF"/>
        </w:rPr>
        <w:t>tlined by § 101</w:t>
      </w:r>
      <w:r>
        <w:rPr>
          <w:rFonts w:cs="Times New Roman"/>
          <w:color w:val="000000"/>
          <w:shd w:val="clear" w:color="auto" w:fill="FFFFFF"/>
        </w:rPr>
        <w:t>.</w:t>
      </w:r>
      <w:r w:rsidR="00EF3DB7">
        <w:rPr>
          <w:rFonts w:cs="Times New Roman"/>
          <w:color w:val="000000"/>
          <w:shd w:val="clear" w:color="auto" w:fill="FFFFFF"/>
        </w:rPr>
        <w:t xml:space="preserve"> Given </w:t>
      </w:r>
      <w:r w:rsidR="00F95FC2">
        <w:rPr>
          <w:rFonts w:cs="Times New Roman"/>
          <w:color w:val="000000"/>
          <w:shd w:val="clear" w:color="auto" w:fill="FFFFFF"/>
        </w:rPr>
        <w:t xml:space="preserve">that Plaintiff filed for a copyright before the work was created, and the work-made-for-hire agreement was written and signed after the work had </w:t>
      </w:r>
      <w:r w:rsidR="00F95FC2">
        <w:rPr>
          <w:rFonts w:cs="Times New Roman"/>
          <w:color w:val="000000"/>
          <w:shd w:val="clear" w:color="auto" w:fill="FFFFFF"/>
        </w:rPr>
        <w:lastRenderedPageBreak/>
        <w:t>been created</w:t>
      </w:r>
      <w:r w:rsidR="00EF3DB7">
        <w:rPr>
          <w:rFonts w:cs="Times New Roman"/>
          <w:color w:val="000000"/>
          <w:shd w:val="clear" w:color="auto" w:fill="FFFFFF"/>
        </w:rPr>
        <w:t xml:space="preserve">, the lack of a written instrument vests the initial ownership rights in Ms. Lime; she can only release those rights through a document that transfers them. A work-made-for-hire agreement is insufficient for the purpose of transfer of ownership rights; such transfers are administered under § 204 instead (a section which does not mention works-made-for-hire). </w:t>
      </w:r>
    </w:p>
    <w:p w14:paraId="46EFC285" w14:textId="77777777" w:rsidR="00C7523F" w:rsidRDefault="00C7523F" w:rsidP="00FA6E7E">
      <w:pPr>
        <w:spacing w:after="0" w:line="480" w:lineRule="auto"/>
        <w:ind w:firstLine="720"/>
      </w:pPr>
      <w:r>
        <w:t xml:space="preserve">By giving meaning to every part of a statute, </w:t>
      </w:r>
      <w:r w:rsidR="00382112">
        <w:t>§</w:t>
      </w:r>
      <w:r w:rsidR="00903961">
        <w:t xml:space="preserve"> 101 creates</w:t>
      </w:r>
      <w:r>
        <w:t xml:space="preserve"> three options with respect to works-made-for-hire: (a) the work was created by an employee, and the employer possesses the ownership rights; (b) the work was created by an independent contractor and a written work-made-for-hire agreement </w:t>
      </w:r>
      <w:r w:rsidR="0069351F">
        <w:t>precedes</w:t>
      </w:r>
      <w:r>
        <w:t xml:space="preserve"> the product, in which case the </w:t>
      </w:r>
      <w:r w:rsidR="0069351F">
        <w:t xml:space="preserve">initial ownership rights vest in the </w:t>
      </w:r>
      <w:r>
        <w:t xml:space="preserve">party commissioning the work; or (c) </w:t>
      </w:r>
      <w:r w:rsidR="0069351F">
        <w:t>the work is requested</w:t>
      </w:r>
      <w:r w:rsidR="00903961">
        <w:t xml:space="preserve"> by a commissioning party</w:t>
      </w:r>
      <w:r w:rsidR="0069351F">
        <w:t>, but not accompanied by a preceding work-made-for-hire agreement</w:t>
      </w:r>
      <w:r>
        <w:t xml:space="preserve">. </w:t>
      </w:r>
      <w:r w:rsidR="0069351F">
        <w:t>“</w:t>
      </w:r>
      <w:r>
        <w:t>Under those circumstances, ownership of the work can be transferred by virtue of section 201(d) to the person who commissioned the author to prepare the work.” Brief, Amicus Curiae</w:t>
      </w:r>
      <w:r w:rsidR="00FB212F">
        <w:t>,</w:t>
      </w:r>
      <w:r>
        <w:t xml:space="preserve"> of the American Intellectual Property Law Association</w:t>
      </w:r>
      <w:r w:rsidR="00FB212F">
        <w:t xml:space="preserve"> at 5,</w:t>
      </w:r>
      <w:r>
        <w:t xml:space="preserve"> </w:t>
      </w:r>
      <w:r>
        <w:rPr>
          <w:i/>
        </w:rPr>
        <w:t>C</w:t>
      </w:r>
      <w:r w:rsidR="00E43C5E">
        <w:rPr>
          <w:i/>
        </w:rPr>
        <w:t>mty.</w:t>
      </w:r>
      <w:r>
        <w:rPr>
          <w:i/>
        </w:rPr>
        <w:t xml:space="preserve"> for Creative Non-Violence v. Reid</w:t>
      </w:r>
      <w:r w:rsidR="008C4882">
        <w:t xml:space="preserve">, </w:t>
      </w:r>
      <w:r w:rsidR="00FB212F">
        <w:t>490 U.S. 730 (</w:t>
      </w:r>
      <w:r>
        <w:t>1989</w:t>
      </w:r>
      <w:r w:rsidR="00FB212F">
        <w:t>)</w:t>
      </w:r>
      <w:r w:rsidR="0043291C">
        <w:t xml:space="preserve"> (No. 1:86CV01507)</w:t>
      </w:r>
      <w:r w:rsidR="008C4882">
        <w:t xml:space="preserve">. As </w:t>
      </w:r>
      <w:r w:rsidR="00A97437">
        <w:t>Plaintiff</w:t>
      </w:r>
      <w:r w:rsidR="008C4882">
        <w:t xml:space="preserve"> </w:t>
      </w:r>
      <w:r w:rsidR="00A97437">
        <w:t>concedes</w:t>
      </w:r>
      <w:r w:rsidR="008C4882">
        <w:t>, no § 201(d) transfer occurred, so Ms. Lime still maintains authorship and ownership rights.</w:t>
      </w:r>
      <w:r w:rsidR="004922A6">
        <w:t xml:space="preserve"> Without a proper written instrument expressly transferring ownership rights, the Court should dismiss the case.</w:t>
      </w:r>
    </w:p>
    <w:p w14:paraId="7706369D" w14:textId="77777777" w:rsidR="002147EC" w:rsidRPr="00196850" w:rsidRDefault="00164DA7" w:rsidP="00196850">
      <w:pPr>
        <w:pStyle w:val="ListParagraph"/>
        <w:numPr>
          <w:ilvl w:val="0"/>
          <w:numId w:val="3"/>
        </w:numPr>
        <w:spacing w:after="240" w:line="240" w:lineRule="auto"/>
        <w:rPr>
          <w:b/>
        </w:rPr>
      </w:pPr>
      <w:r w:rsidRPr="00196850">
        <w:rPr>
          <w:b/>
        </w:rPr>
        <w:t>LEGISLATIVE HISTORY REQUIRES THAT A WRITTEN WORK-MADE-FOR-HIRE AGREEMENT PREDATE CREATION OF THE WORK</w:t>
      </w:r>
    </w:p>
    <w:p w14:paraId="446A1E1F" w14:textId="77777777" w:rsidR="004D3021" w:rsidRPr="004D3021" w:rsidRDefault="004D3021" w:rsidP="004D3021">
      <w:pPr>
        <w:spacing w:after="0" w:line="480" w:lineRule="auto"/>
      </w:pPr>
      <w:r>
        <w:tab/>
        <w:t xml:space="preserve">Should the Court </w:t>
      </w:r>
      <w:r w:rsidR="00E43C5E">
        <w:t xml:space="preserve">determine that </w:t>
      </w:r>
      <w:r>
        <w:t xml:space="preserve">the plain language of </w:t>
      </w:r>
      <w:r w:rsidR="00E43C5E">
        <w:t>§ 101 is ambiguous</w:t>
      </w:r>
      <w:r>
        <w:t xml:space="preserve">, it can look to the legislative history to deduce Congress’ intent. </w:t>
      </w:r>
      <w:r>
        <w:rPr>
          <w:i/>
        </w:rPr>
        <w:t>United States v. Childress</w:t>
      </w:r>
      <w:r>
        <w:t xml:space="preserve">, 104 F.3d 47, 53 (4th Cir. 1996). The legislative history corroborates the contention that </w:t>
      </w:r>
      <w:r w:rsidR="00174941">
        <w:t xml:space="preserve">work-made-for-hire agreements must be made prior to the creation of the work. Setting such a precedent ensures that Congress’ goal of clear and definite ownership is upheld and that Constitutional concerns of </w:t>
      </w:r>
      <w:r w:rsidR="00174941">
        <w:lastRenderedPageBreak/>
        <w:t>promoting the arts and providing fair compensation to writers and maximum disbursement of their works are furthered.</w:t>
      </w:r>
    </w:p>
    <w:p w14:paraId="3612531E" w14:textId="77777777" w:rsidR="00CF34F5" w:rsidRPr="000550A1" w:rsidRDefault="00927443" w:rsidP="00196850">
      <w:pPr>
        <w:spacing w:after="240" w:line="240" w:lineRule="auto"/>
        <w:ind w:left="288" w:hanging="288"/>
        <w:rPr>
          <w:b/>
          <w:smallCaps/>
        </w:rPr>
      </w:pPr>
      <w:r>
        <w:rPr>
          <w:b/>
          <w:smallCaps/>
        </w:rPr>
        <w:t>A</w:t>
      </w:r>
      <w:r w:rsidR="00CF34F5" w:rsidRPr="000550A1">
        <w:rPr>
          <w:b/>
          <w:smallCaps/>
        </w:rPr>
        <w:t xml:space="preserve">. </w:t>
      </w:r>
      <w:r w:rsidR="000550A1" w:rsidRPr="000550A1">
        <w:rPr>
          <w:b/>
          <w:smallCaps/>
        </w:rPr>
        <w:t>Requiring a Written Agreement Prior to the Creation of a Work Made For Hire Furthers Congress’s Paramount Concern of Establishing Clear and Definite Ownership</w:t>
      </w:r>
    </w:p>
    <w:p w14:paraId="780B8727" w14:textId="77777777" w:rsidR="0072522B" w:rsidRPr="00613C8A" w:rsidRDefault="00F0616F" w:rsidP="001F5534">
      <w:pPr>
        <w:spacing w:after="0" w:line="480" w:lineRule="auto"/>
      </w:pPr>
      <w:r>
        <w:tab/>
        <w:t>The legislative history of the statute shows a desire to elucidate possession of ownership rights, both for the sake of the author and the work itself</w:t>
      </w:r>
      <w:r w:rsidR="0094380B">
        <w:t>; “i</w:t>
      </w:r>
      <w:r w:rsidR="00676240">
        <w:t>t has to be a ‘work prepared on special order or commission’ in the first place. It would not be considered a ‘work made for hire’ if the contract were signed later on—after the work was written, for example.”</w:t>
      </w:r>
      <w:r w:rsidR="004D3021">
        <w:t xml:space="preserve"> H.R. </w:t>
      </w:r>
      <w:r w:rsidR="004D3021" w:rsidRPr="00E43C5E">
        <w:t>R</w:t>
      </w:r>
      <w:r w:rsidR="00E43C5E" w:rsidRPr="00E43C5E">
        <w:t>ep</w:t>
      </w:r>
      <w:r w:rsidR="004D3021">
        <w:t xml:space="preserve">. </w:t>
      </w:r>
      <w:r w:rsidR="004D3021" w:rsidRPr="004D3021">
        <w:rPr>
          <w:smallCaps/>
        </w:rPr>
        <w:t>N</w:t>
      </w:r>
      <w:r w:rsidR="004D3021" w:rsidRPr="00E43C5E">
        <w:t>o</w:t>
      </w:r>
      <w:r w:rsidR="004D3021">
        <w:t xml:space="preserve">. 51-374, pt. 5, at 145 (1965). </w:t>
      </w:r>
      <w:r w:rsidR="001D0219">
        <w:t xml:space="preserve">The requirement of a preceding written agreement was explicitly cited as one of a series of compromises made in the construction of the text on works-made-for-hire. </w:t>
      </w:r>
      <w:r w:rsidR="001D0219">
        <w:rPr>
          <w:i/>
        </w:rPr>
        <w:t>Id</w:t>
      </w:r>
      <w:r w:rsidR="001D0219">
        <w:t>. Doing so ensures that a specific written document names the author when that person is</w:t>
      </w:r>
      <w:r w:rsidR="003E189D">
        <w:t xml:space="preserve"> someone other than the creator </w:t>
      </w:r>
      <w:r w:rsidR="001D0219">
        <w:t xml:space="preserve">of the work, and that the document can be cited from the moment the work is created. Allowing an alternate interpretation of the written document requirement creates temporal gaps whereby individuals, legislative bodies, and courts must make judgment calls regarding the owner of a work. </w:t>
      </w:r>
      <w:r w:rsidR="00603371">
        <w:t>Plaintiff’s</w:t>
      </w:r>
      <w:r w:rsidR="001D0219">
        <w:t xml:space="preserve"> interpretation would allow, but not require, a court to give ownership rights to a commissioner during a period in which no written document exists; such an interpretation is fundamentally at odds with the clear and definite ownership sought by Congress.</w:t>
      </w:r>
      <w:r w:rsidR="00613C8A">
        <w:rPr>
          <w:i/>
        </w:rPr>
        <w:t>See Schiller &amp; Schmidt, Inc., v. Nordisco Corp.</w:t>
      </w:r>
      <w:r w:rsidR="00613C8A">
        <w:t>, 969 F.2d 410, 413 (7th Cir. 1992) (“The writing must precede the creation of the property in order to serve its purpose of identifying the (noncreator) owner unequivocally.”)</w:t>
      </w:r>
    </w:p>
    <w:p w14:paraId="6D4CDA87" w14:textId="77777777" w:rsidR="00EE49CE" w:rsidRDefault="00EE49CE" w:rsidP="001F5534">
      <w:pPr>
        <w:spacing w:after="0" w:line="480" w:lineRule="auto"/>
      </w:pPr>
      <w:r>
        <w:tab/>
        <w:t xml:space="preserve">Had Ms. Lime opted not to sign the work-made-for-hire agreement on April 6, </w:t>
      </w:r>
      <w:r w:rsidR="00603371">
        <w:t>Plaintiff</w:t>
      </w:r>
      <w:r>
        <w:t xml:space="preserve"> could certainly not be said to have ever had any authorship or ownership rights in the screenplay she had written five days earlier. To </w:t>
      </w:r>
      <w:r w:rsidR="00613C8A">
        <w:t>hold</w:t>
      </w:r>
      <w:r>
        <w:t xml:space="preserve"> otherwise would be to, again, render irrelevant the </w:t>
      </w:r>
      <w:r>
        <w:lastRenderedPageBreak/>
        <w:t>legislative requirement of a written instrument. During that five-day period, then, Ms. Lime was the clear and definite holder of any authorship or ownership rights</w:t>
      </w:r>
      <w:r w:rsidR="00E20E7F">
        <w:t>. In order to transfer those rights, Ms. Lime and Plaintiff would then need to execute a transfer agreement as required by the statute itself; until the creation of such a transfer document, Ms. Lime retains all ownership rights to her created work.</w:t>
      </w:r>
    </w:p>
    <w:p w14:paraId="38685485" w14:textId="77777777" w:rsidR="00E20E7F" w:rsidRPr="004924D9" w:rsidRDefault="00613C8A" w:rsidP="001F5534">
      <w:pPr>
        <w:spacing w:after="0" w:line="480" w:lineRule="auto"/>
      </w:pPr>
      <w:r>
        <w:tab/>
        <w:t>Plaintiff</w:t>
      </w:r>
      <w:r w:rsidR="00E20E7F">
        <w:t xml:space="preserve"> may likely counter by arguing that the existence of the belated agreement satisfies the need for clarity. The Court should reject this argument for two reasons. First, the Court should favor the bright line interpretation of the § 101 language. By requesting that written instruments may be executed after the document, Plaintiff is asking </w:t>
      </w:r>
      <w:r w:rsidR="006364C6">
        <w:t xml:space="preserve">that the Court place no limits on the temporal proximity of the agreement to the creation of the work. </w:t>
      </w:r>
      <w:r>
        <w:t>Although</w:t>
      </w:r>
      <w:r w:rsidR="006364C6">
        <w:t xml:space="preserve"> the temporal proximity in the present fact pattern is relatively small, the </w:t>
      </w:r>
      <w:r>
        <w:t>interpretation</w:t>
      </w:r>
      <w:r w:rsidR="006364C6">
        <w:t xml:space="preserve"> suggested by Plaintiff would apply to cases where the document was not signed for many months or years after the creation of the work. Plaintiff is asking that the Court allow the </w:t>
      </w:r>
      <w:r>
        <w:t>existence</w:t>
      </w:r>
      <w:r w:rsidR="006364C6">
        <w:t xml:space="preserve"> of an oral understanding to construe a work a certain way</w:t>
      </w:r>
      <w:r>
        <w:t>,</w:t>
      </w:r>
      <w:r w:rsidR="006364C6">
        <w:t xml:space="preserve"> negat</w:t>
      </w:r>
      <w:r>
        <w:t>ing</w:t>
      </w:r>
      <w:r w:rsidR="006364C6">
        <w:t xml:space="preserve"> the explicit requirements set forth in </w:t>
      </w:r>
      <w:r>
        <w:t>the Copyright Act</w:t>
      </w:r>
      <w:r w:rsidR="006364C6">
        <w:t xml:space="preserve">. In essence, one who commissions a work made for hire could at any time go back and request ownership rights retroactive to the creation of the work, regardless of how the work was utilized in the interim. Second, </w:t>
      </w:r>
      <w:r w:rsidR="00927443">
        <w:t>Plaintiff’s proffered</w:t>
      </w:r>
      <w:r w:rsidR="006364C6">
        <w:t xml:space="preserve"> interpretation allows non-creator parties to file copyrights claiming ownership of non-existent works, as is the case here. Copyrights for non-existent works undermine the need for clarity and definite ownership by allowing claims of copyright over works that may in no way resemble the copyright which was filed in the first place. A work could change dramatically between the filing of the copyright and the completion of the work itself, or the author could change </w:t>
      </w:r>
      <w:r w:rsidR="00927443">
        <w:t>his or her</w:t>
      </w:r>
      <w:r w:rsidR="006364C6">
        <w:t xml:space="preserve"> mind entirely and wish to retain ownership by not signing the agreement. </w:t>
      </w:r>
      <w:r w:rsidR="00903961">
        <w:t xml:space="preserve">Indeed, suppose that between April 2 (when </w:t>
      </w:r>
      <w:r w:rsidR="00903961">
        <w:lastRenderedPageBreak/>
        <w:t xml:space="preserve">Plaintiff filed for a copyright) and April 6 (when the written agreement was executed), Ms. Lime and TinyTV had decided to create the separate show </w:t>
      </w:r>
      <w:r w:rsidR="00903961">
        <w:rPr>
          <w:i/>
        </w:rPr>
        <w:t xml:space="preserve">The Tin </w:t>
      </w:r>
      <w:r w:rsidR="00903961" w:rsidRPr="00903961">
        <w:rPr>
          <w:i/>
        </w:rPr>
        <w:t>Can</w:t>
      </w:r>
      <w:r w:rsidR="00903961">
        <w:t>. If Ms. Lime had told Plaintiff she would not sign the written document, Plaintiff certainly could not bring suit and hold up the filed copyright application as proof of ownership.</w:t>
      </w:r>
      <w:r w:rsidR="00927443">
        <w:t xml:space="preserve"> </w:t>
      </w:r>
      <w:r w:rsidR="006364C6" w:rsidRPr="00903961">
        <w:t>Plaintiff’s</w:t>
      </w:r>
      <w:r w:rsidR="006364C6">
        <w:t xml:space="preserve"> suggested precedent would either render the copyright application fraudulent or superfluous, neither of which promote clarity and definitive ownership.</w:t>
      </w:r>
      <w:r w:rsidR="00505BEE">
        <w:t xml:space="preserve"> </w:t>
      </w:r>
      <w:r w:rsidR="006364C6">
        <w:t>Even if the rule may be adequately functional in the present case, the danger of creating such a precedent through this case of first impression requires that the Court respect the wishes of the Legislature with regards to the temporal element of work-made-for-hire agreements and dismiss this case.</w:t>
      </w:r>
    </w:p>
    <w:p w14:paraId="157F4650" w14:textId="77777777" w:rsidR="00DF2674" w:rsidRPr="0069740B" w:rsidRDefault="00927443" w:rsidP="002147EC">
      <w:pPr>
        <w:spacing w:after="240" w:line="240" w:lineRule="auto"/>
        <w:ind w:left="288" w:hanging="288"/>
        <w:rPr>
          <w:rFonts w:cs="Times New Roman"/>
          <w:b/>
          <w:smallCaps/>
          <w:color w:val="000000"/>
          <w:shd w:val="clear" w:color="auto" w:fill="FFFFFF"/>
        </w:rPr>
      </w:pPr>
      <w:r>
        <w:rPr>
          <w:rFonts w:cs="Times New Roman"/>
          <w:b/>
          <w:color w:val="000000"/>
          <w:shd w:val="clear" w:color="auto" w:fill="FFFFFF"/>
        </w:rPr>
        <w:t>B</w:t>
      </w:r>
      <w:r w:rsidR="003E189D">
        <w:rPr>
          <w:rFonts w:cs="Times New Roman"/>
          <w:b/>
          <w:color w:val="000000"/>
          <w:shd w:val="clear" w:color="auto" w:fill="FFFFFF"/>
        </w:rPr>
        <w:t xml:space="preserve">. </w:t>
      </w:r>
      <w:r w:rsidR="0069740B" w:rsidRPr="0069740B">
        <w:rPr>
          <w:rFonts w:cs="Times New Roman"/>
          <w:b/>
          <w:smallCaps/>
          <w:color w:val="000000"/>
          <w:shd w:val="clear" w:color="auto" w:fill="FFFFFF"/>
        </w:rPr>
        <w:t>Legislative History Indicates a Desire to Provide Authors Fair Revenue for Their Works</w:t>
      </w:r>
    </w:p>
    <w:p w14:paraId="4EB9364A" w14:textId="77777777" w:rsidR="00AD48CC" w:rsidRPr="0069740B" w:rsidRDefault="003C0EC1" w:rsidP="001F5534">
      <w:pPr>
        <w:spacing w:after="0" w:line="480" w:lineRule="auto"/>
        <w:rPr>
          <w:rFonts w:cs="Times New Roman"/>
          <w:color w:val="000000"/>
          <w:shd w:val="clear" w:color="auto" w:fill="FFFFFF"/>
        </w:rPr>
      </w:pPr>
      <w:r>
        <w:rPr>
          <w:rFonts w:cs="Times New Roman"/>
          <w:color w:val="000000"/>
          <w:shd w:val="clear" w:color="auto" w:fill="FFFFFF"/>
        </w:rPr>
        <w:tab/>
        <w:t>In creating the Copyright Act of 1976, Congress sought to provide institutional safeguards allowing authors right</w:t>
      </w:r>
      <w:r w:rsidR="0069740B">
        <w:rPr>
          <w:rFonts w:cs="Times New Roman"/>
          <w:color w:val="000000"/>
          <w:shd w:val="clear" w:color="auto" w:fill="FFFFFF"/>
        </w:rPr>
        <w:t>s</w:t>
      </w:r>
      <w:r>
        <w:rPr>
          <w:rFonts w:cs="Times New Roman"/>
          <w:color w:val="000000"/>
          <w:shd w:val="clear" w:color="auto" w:fill="FFFFFF"/>
        </w:rPr>
        <w:t xml:space="preserve"> “broad enough to give them a fair share of the revenue to be derived from the market for their works.” </w:t>
      </w:r>
      <w:r w:rsidRPr="00505BEE">
        <w:rPr>
          <w:rFonts w:cs="Times New Roman"/>
          <w:color w:val="000000"/>
          <w:shd w:val="clear" w:color="auto" w:fill="FFFFFF"/>
        </w:rPr>
        <w:t>Register of C</w:t>
      </w:r>
      <w:r w:rsidR="004403E4">
        <w:rPr>
          <w:rFonts w:cs="Times New Roman"/>
          <w:color w:val="000000"/>
          <w:shd w:val="clear" w:color="auto" w:fill="FFFFFF"/>
        </w:rPr>
        <w:t>opyrights, 87th Cong.</w:t>
      </w:r>
      <w:r w:rsidRPr="00505BEE">
        <w:rPr>
          <w:rFonts w:cs="Times New Roman"/>
          <w:color w:val="000000"/>
          <w:shd w:val="clear" w:color="auto" w:fill="FFFFFF"/>
        </w:rPr>
        <w:t>, Copyright Law Revision 5</w:t>
      </w:r>
      <w:r w:rsidR="004924D9" w:rsidRPr="00505BEE">
        <w:rPr>
          <w:rFonts w:cs="Times New Roman"/>
          <w:color w:val="000000"/>
          <w:shd w:val="clear" w:color="auto" w:fill="FFFFFF"/>
        </w:rPr>
        <w:t xml:space="preserve"> </w:t>
      </w:r>
      <w:r w:rsidRPr="00505BEE">
        <w:rPr>
          <w:rFonts w:cs="Times New Roman"/>
          <w:color w:val="000000"/>
          <w:shd w:val="clear" w:color="auto" w:fill="FFFFFF"/>
        </w:rPr>
        <w:t>(Comm. Print 1961).</w:t>
      </w:r>
      <w:r w:rsidR="004924D9">
        <w:rPr>
          <w:rFonts w:cs="Times New Roman"/>
          <w:color w:val="000000"/>
          <w:shd w:val="clear" w:color="auto" w:fill="FFFFFF"/>
        </w:rPr>
        <w:t xml:space="preserve"> Further, “the primary purpose of copyright is to stimulate the creation and dissemination of intellectual works, thus advancing ‘the progress of science and useful arts.” </w:t>
      </w:r>
      <w:r w:rsidR="0069740B">
        <w:rPr>
          <w:rFonts w:cs="Times New Roman"/>
          <w:i/>
          <w:color w:val="000000"/>
          <w:shd w:val="clear" w:color="auto" w:fill="FFFFFF"/>
        </w:rPr>
        <w:t>Id.</w:t>
      </w:r>
      <w:r w:rsidR="0069740B">
        <w:rPr>
          <w:rFonts w:cs="Times New Roman"/>
          <w:color w:val="000000"/>
          <w:shd w:val="clear" w:color="auto" w:fill="FFFFFF"/>
        </w:rPr>
        <w:t xml:space="preserve"> at 6.</w:t>
      </w:r>
    </w:p>
    <w:p w14:paraId="32649CCF" w14:textId="77777777" w:rsidR="007742F9" w:rsidRDefault="004924D9" w:rsidP="00C9101F">
      <w:pPr>
        <w:spacing w:after="0" w:line="480" w:lineRule="auto"/>
        <w:rPr>
          <w:rFonts w:cs="Times New Roman"/>
          <w:color w:val="000000"/>
          <w:shd w:val="clear" w:color="auto" w:fill="FFFFFF"/>
        </w:rPr>
      </w:pPr>
      <w:r>
        <w:rPr>
          <w:rFonts w:cs="Times New Roman"/>
          <w:color w:val="000000"/>
          <w:shd w:val="clear" w:color="auto" w:fill="FFFFFF"/>
        </w:rPr>
        <w:tab/>
      </w:r>
      <w:r w:rsidR="00603371">
        <w:rPr>
          <w:rFonts w:cs="Times New Roman"/>
          <w:color w:val="000000"/>
          <w:shd w:val="clear" w:color="auto" w:fill="FFFFFF"/>
        </w:rPr>
        <w:t>Plaintiff’s</w:t>
      </w:r>
      <w:r>
        <w:rPr>
          <w:rFonts w:cs="Times New Roman"/>
          <w:color w:val="000000"/>
          <w:shd w:val="clear" w:color="auto" w:fill="FFFFFF"/>
        </w:rPr>
        <w:t xml:space="preserve"> actions directly conflict with this legislative intent. </w:t>
      </w:r>
      <w:r w:rsidR="00603371">
        <w:rPr>
          <w:rFonts w:cs="Times New Roman"/>
          <w:color w:val="000000"/>
          <w:shd w:val="clear" w:color="auto" w:fill="FFFFFF"/>
        </w:rPr>
        <w:t>Plaintiff</w:t>
      </w:r>
      <w:r>
        <w:rPr>
          <w:rFonts w:cs="Times New Roman"/>
          <w:color w:val="000000"/>
          <w:shd w:val="clear" w:color="auto" w:fill="FFFFFF"/>
        </w:rPr>
        <w:t xml:space="preserve"> seeks to imprison Ms. Lime’s intellectual work, preventing it from widespread dissemination and showcase. This </w:t>
      </w:r>
      <w:r w:rsidR="004403E4">
        <w:rPr>
          <w:rFonts w:cs="Times New Roman"/>
          <w:color w:val="000000"/>
          <w:shd w:val="clear" w:color="auto" w:fill="FFFFFF"/>
        </w:rPr>
        <w:t>removes from Ms. Lime b</w:t>
      </w:r>
      <w:r w:rsidR="00603371">
        <w:rPr>
          <w:rFonts w:cs="Times New Roman"/>
          <w:color w:val="000000"/>
          <w:shd w:val="clear" w:color="auto" w:fill="FFFFFF"/>
        </w:rPr>
        <w:t>oth</w:t>
      </w:r>
      <w:r>
        <w:rPr>
          <w:rFonts w:cs="Times New Roman"/>
          <w:color w:val="000000"/>
          <w:shd w:val="clear" w:color="auto" w:fill="FFFFFF"/>
        </w:rPr>
        <w:t xml:space="preserve"> her right to broadcast her created works and her fair share of revenue. Ms. Lime wrote the screenplay not</w:t>
      </w:r>
      <w:r w:rsidR="00D34B6A">
        <w:rPr>
          <w:rFonts w:cs="Times New Roman"/>
          <w:color w:val="000000"/>
          <w:shd w:val="clear" w:color="auto" w:fill="FFFFFF"/>
        </w:rPr>
        <w:t xml:space="preserve"> solely</w:t>
      </w:r>
      <w:r>
        <w:rPr>
          <w:rFonts w:cs="Times New Roman"/>
          <w:color w:val="000000"/>
          <w:shd w:val="clear" w:color="auto" w:fill="FFFFFF"/>
        </w:rPr>
        <w:t xml:space="preserve"> for the initial payment by </w:t>
      </w:r>
      <w:r w:rsidR="00D34B6A">
        <w:rPr>
          <w:rFonts w:cs="Times New Roman"/>
          <w:color w:val="000000"/>
          <w:shd w:val="clear" w:color="auto" w:fill="FFFFFF"/>
        </w:rPr>
        <w:t>Plaintiff</w:t>
      </w:r>
      <w:r>
        <w:rPr>
          <w:rFonts w:cs="Times New Roman"/>
          <w:color w:val="000000"/>
          <w:shd w:val="clear" w:color="auto" w:fill="FFFFFF"/>
        </w:rPr>
        <w:t xml:space="preserve">, but also for the </w:t>
      </w:r>
      <w:r w:rsidR="009B6D59">
        <w:rPr>
          <w:rFonts w:cs="Times New Roman"/>
          <w:color w:val="000000"/>
          <w:shd w:val="clear" w:color="auto" w:fill="FFFFFF"/>
        </w:rPr>
        <w:t>expectation of publicity, dissemination of product, and furtherance of work opportunities</w:t>
      </w:r>
      <w:r w:rsidR="000B410B">
        <w:rPr>
          <w:rFonts w:cs="Times New Roman"/>
          <w:color w:val="000000"/>
          <w:shd w:val="clear" w:color="auto" w:fill="FFFFFF"/>
        </w:rPr>
        <w:t xml:space="preserve"> that would accompany the broadcast. Allowing </w:t>
      </w:r>
      <w:r w:rsidR="00B20624">
        <w:rPr>
          <w:rFonts w:cs="Times New Roman"/>
          <w:color w:val="000000"/>
          <w:shd w:val="clear" w:color="auto" w:fill="FFFFFF"/>
        </w:rPr>
        <w:t>Plaintiff</w:t>
      </w:r>
      <w:r w:rsidR="000B410B">
        <w:rPr>
          <w:rFonts w:cs="Times New Roman"/>
          <w:color w:val="000000"/>
          <w:shd w:val="clear" w:color="auto" w:fill="FFFFFF"/>
        </w:rPr>
        <w:t xml:space="preserve"> to purchase</w:t>
      </w:r>
      <w:r w:rsidR="009B6D59">
        <w:rPr>
          <w:rFonts w:cs="Times New Roman"/>
          <w:color w:val="000000"/>
          <w:shd w:val="clear" w:color="auto" w:fill="FFFFFF"/>
        </w:rPr>
        <w:t xml:space="preserve"> the screenplay for a small fee,</w:t>
      </w:r>
      <w:r w:rsidR="000B410B">
        <w:rPr>
          <w:rFonts w:cs="Times New Roman"/>
          <w:color w:val="000000"/>
          <w:shd w:val="clear" w:color="auto" w:fill="FFFFFF"/>
        </w:rPr>
        <w:t xml:space="preserve"> </w:t>
      </w:r>
      <w:r w:rsidR="009B6D59">
        <w:rPr>
          <w:rFonts w:cs="Times New Roman"/>
          <w:color w:val="000000"/>
          <w:shd w:val="clear" w:color="auto" w:fill="FFFFFF"/>
        </w:rPr>
        <w:t>and then</w:t>
      </w:r>
      <w:r w:rsidR="000B410B">
        <w:rPr>
          <w:rFonts w:cs="Times New Roman"/>
          <w:color w:val="000000"/>
          <w:shd w:val="clear" w:color="auto" w:fill="FFFFFF"/>
        </w:rPr>
        <w:t xml:space="preserve"> fail to use it for its intended purpose, creates an imbalance in bargaining power </w:t>
      </w:r>
      <w:r w:rsidR="000B410B">
        <w:rPr>
          <w:rFonts w:cs="Times New Roman"/>
          <w:color w:val="000000"/>
          <w:shd w:val="clear" w:color="auto" w:fill="FFFFFF"/>
        </w:rPr>
        <w:lastRenderedPageBreak/>
        <w:t>between television studios and independent screenwriters</w:t>
      </w:r>
      <w:r w:rsidR="009B6D59">
        <w:rPr>
          <w:rFonts w:cs="Times New Roman"/>
          <w:color w:val="000000"/>
          <w:shd w:val="clear" w:color="auto" w:fill="FFFFFF"/>
        </w:rPr>
        <w:t>; it creates an incentive to secure work-made-for-hire ownership rights on a large scale, regardless of any future use or intent to use</w:t>
      </w:r>
      <w:r w:rsidR="000B410B">
        <w:rPr>
          <w:rFonts w:cs="Times New Roman"/>
          <w:color w:val="000000"/>
          <w:shd w:val="clear" w:color="auto" w:fill="FFFFFF"/>
        </w:rPr>
        <w:t>. Such an imbalance is in direct conflict w</w:t>
      </w:r>
      <w:r w:rsidR="00A65FB7">
        <w:rPr>
          <w:rFonts w:cs="Times New Roman"/>
          <w:color w:val="000000"/>
          <w:shd w:val="clear" w:color="auto" w:fill="FFFFFF"/>
        </w:rPr>
        <w:t>ith the intent of copyright law.</w:t>
      </w:r>
    </w:p>
    <w:p w14:paraId="58E08890" w14:textId="77777777" w:rsidR="00C9101F" w:rsidRDefault="00C9101F" w:rsidP="00C9101F">
      <w:pPr>
        <w:spacing w:after="0" w:line="480" w:lineRule="auto"/>
        <w:jc w:val="center"/>
        <w:rPr>
          <w:rFonts w:cs="Times New Roman"/>
          <w:b/>
          <w:color w:val="000000"/>
          <w:shd w:val="clear" w:color="auto" w:fill="FFFFFF"/>
        </w:rPr>
      </w:pPr>
      <w:r>
        <w:rPr>
          <w:rFonts w:cs="Times New Roman"/>
          <w:b/>
          <w:color w:val="000000"/>
          <w:shd w:val="clear" w:color="auto" w:fill="FFFFFF"/>
        </w:rPr>
        <w:t>CONCLUSION</w:t>
      </w:r>
    </w:p>
    <w:p w14:paraId="38E3F493" w14:textId="77777777" w:rsidR="00C9101F" w:rsidRDefault="00C9101F" w:rsidP="00C9101F">
      <w:pPr>
        <w:spacing w:after="0" w:line="480" w:lineRule="auto"/>
        <w:rPr>
          <w:rFonts w:cs="Times New Roman"/>
          <w:color w:val="000000"/>
          <w:shd w:val="clear" w:color="auto" w:fill="FFFFFF"/>
        </w:rPr>
      </w:pPr>
      <w:r>
        <w:rPr>
          <w:rFonts w:cs="Times New Roman"/>
          <w:b/>
          <w:color w:val="000000"/>
          <w:shd w:val="clear" w:color="auto" w:fill="FFFFFF"/>
        </w:rPr>
        <w:tab/>
      </w:r>
      <w:r w:rsidR="00BB0959">
        <w:rPr>
          <w:rFonts w:cs="Times New Roman"/>
          <w:color w:val="000000"/>
          <w:shd w:val="clear" w:color="auto" w:fill="FFFFFF"/>
        </w:rPr>
        <w:t>Four reasons exist to find for Ms. Lime and TinyTV</w:t>
      </w:r>
      <w:r w:rsidR="00505BEE">
        <w:rPr>
          <w:rFonts w:cs="Times New Roman"/>
          <w:color w:val="000000"/>
          <w:shd w:val="clear" w:color="auto" w:fill="FFFFFF"/>
        </w:rPr>
        <w:t xml:space="preserve"> and dismiss the case</w:t>
      </w:r>
      <w:r w:rsidR="00BB0959">
        <w:rPr>
          <w:rFonts w:cs="Times New Roman"/>
          <w:color w:val="000000"/>
          <w:shd w:val="clear" w:color="auto" w:fill="FFFFFF"/>
        </w:rPr>
        <w:t xml:space="preserve">. First, because the </w:t>
      </w:r>
      <w:r w:rsidR="0069740B">
        <w:rPr>
          <w:rFonts w:cs="Times New Roman"/>
          <w:color w:val="000000"/>
          <w:shd w:val="clear" w:color="auto" w:fill="FFFFFF"/>
        </w:rPr>
        <w:t>plain language</w:t>
      </w:r>
      <w:r w:rsidR="00BB0959">
        <w:rPr>
          <w:rFonts w:cs="Times New Roman"/>
          <w:color w:val="000000"/>
          <w:shd w:val="clear" w:color="auto" w:fill="FFFFFF"/>
        </w:rPr>
        <w:t xml:space="preserve"> construction of §101 states that ownership rights vest upon execution of </w:t>
      </w:r>
      <w:r w:rsidR="0069740B">
        <w:rPr>
          <w:rFonts w:cs="Times New Roman"/>
          <w:color w:val="000000"/>
          <w:shd w:val="clear" w:color="auto" w:fill="FFFFFF"/>
        </w:rPr>
        <w:t>a preceding</w:t>
      </w:r>
      <w:r w:rsidR="00BB0959">
        <w:rPr>
          <w:rFonts w:cs="Times New Roman"/>
          <w:color w:val="000000"/>
          <w:shd w:val="clear" w:color="auto" w:fill="FFFFFF"/>
        </w:rPr>
        <w:t xml:space="preserve"> written agreement, </w:t>
      </w:r>
      <w:r w:rsidR="00B20624">
        <w:rPr>
          <w:rFonts w:cs="Times New Roman"/>
          <w:color w:val="000000"/>
          <w:shd w:val="clear" w:color="auto" w:fill="FFFFFF"/>
        </w:rPr>
        <w:t>Plaintiff’s</w:t>
      </w:r>
      <w:r w:rsidR="00BB0959">
        <w:rPr>
          <w:rFonts w:cs="Times New Roman"/>
          <w:color w:val="000000"/>
          <w:shd w:val="clear" w:color="auto" w:fill="FFFFFF"/>
        </w:rPr>
        <w:t xml:space="preserve"> copyright is void and the ownership rights instead vested in Ms. Lime upon completion of the screenplay prior to signing the written agreement. Second, because</w:t>
      </w:r>
      <w:r w:rsidR="006150B8">
        <w:rPr>
          <w:rFonts w:cs="Times New Roman"/>
          <w:color w:val="000000"/>
          <w:shd w:val="clear" w:color="auto" w:fill="FFFFFF"/>
        </w:rPr>
        <w:t xml:space="preserve"> ownership rights vested in Ms. Lime upon completion of the work, </w:t>
      </w:r>
      <w:r w:rsidR="00B20624">
        <w:rPr>
          <w:rFonts w:cs="Times New Roman"/>
          <w:color w:val="000000"/>
          <w:shd w:val="clear" w:color="auto" w:fill="FFFFFF"/>
        </w:rPr>
        <w:t>she</w:t>
      </w:r>
      <w:r w:rsidR="006150B8">
        <w:rPr>
          <w:rFonts w:cs="Times New Roman"/>
          <w:color w:val="000000"/>
          <w:shd w:val="clear" w:color="auto" w:fill="FFFFFF"/>
        </w:rPr>
        <w:t xml:space="preserve"> can onl</w:t>
      </w:r>
      <w:r w:rsidR="000C7165">
        <w:rPr>
          <w:rFonts w:cs="Times New Roman"/>
          <w:color w:val="000000"/>
          <w:shd w:val="clear" w:color="auto" w:fill="FFFFFF"/>
        </w:rPr>
        <w:t xml:space="preserve">y </w:t>
      </w:r>
      <w:r w:rsidR="00B20624">
        <w:rPr>
          <w:rFonts w:cs="Times New Roman"/>
          <w:color w:val="000000"/>
          <w:shd w:val="clear" w:color="auto" w:fill="FFFFFF"/>
        </w:rPr>
        <w:t>transfer them</w:t>
      </w:r>
      <w:r w:rsidR="000C7165">
        <w:rPr>
          <w:rFonts w:cs="Times New Roman"/>
          <w:color w:val="000000"/>
          <w:shd w:val="clear" w:color="auto" w:fill="FFFFFF"/>
        </w:rPr>
        <w:t xml:space="preserve"> via documents framed as transfer agreements. To construe a work-made-for-hire agreement as a transfer agreement would render the language in §§ 101, 201, and 204 redundant and unnecessary; a court should always seek to avoid that outcome. Third, the legislative history of the Copyright Act indicates a distinct intent by Congress to ensure clear and definite ownership rights at all times. Because a work-made-for-hire agreement cannot be retroactive to the date of creation of a work, the written instrument must be executed prior to creation in order to </w:t>
      </w:r>
      <w:r w:rsidR="0069740B">
        <w:rPr>
          <w:rFonts w:cs="Times New Roman"/>
          <w:color w:val="000000"/>
          <w:shd w:val="clear" w:color="auto" w:fill="FFFFFF"/>
        </w:rPr>
        <w:t>clarify</w:t>
      </w:r>
      <w:r w:rsidR="000C7165">
        <w:rPr>
          <w:rFonts w:cs="Times New Roman"/>
          <w:color w:val="000000"/>
          <w:shd w:val="clear" w:color="auto" w:fill="FFFFFF"/>
        </w:rPr>
        <w:t xml:space="preserve"> the initial ownership rights. Finally, </w:t>
      </w:r>
      <w:r w:rsidR="00B20624">
        <w:rPr>
          <w:rFonts w:cs="Times New Roman"/>
          <w:color w:val="000000"/>
          <w:shd w:val="clear" w:color="auto" w:fill="FFFFFF"/>
        </w:rPr>
        <w:t>Plaintiff’s</w:t>
      </w:r>
      <w:r w:rsidR="000C7165">
        <w:rPr>
          <w:rFonts w:cs="Times New Roman"/>
          <w:color w:val="000000"/>
          <w:shd w:val="clear" w:color="auto" w:fill="FFFFFF"/>
        </w:rPr>
        <w:t xml:space="preserve"> interpretation conflicts directly with Congress’s stated goals of empowering creators to disseminate their creative works widely and entitling them to their fair share of revenue for their works. Ms. Lime wrote this screenplay for more than the mere $6</w:t>
      </w:r>
      <w:r w:rsidR="000B3EB4">
        <w:rPr>
          <w:rFonts w:cs="Times New Roman"/>
          <w:color w:val="000000"/>
          <w:shd w:val="clear" w:color="auto" w:fill="FFFFFF"/>
        </w:rPr>
        <w:t>,</w:t>
      </w:r>
      <w:r w:rsidR="000C7165">
        <w:rPr>
          <w:rFonts w:cs="Times New Roman"/>
          <w:color w:val="000000"/>
          <w:shd w:val="clear" w:color="auto" w:fill="FFFFFF"/>
        </w:rPr>
        <w:t xml:space="preserve">000 </w:t>
      </w:r>
      <w:r w:rsidR="0069740B">
        <w:rPr>
          <w:rFonts w:cs="Times New Roman"/>
          <w:color w:val="000000"/>
          <w:shd w:val="clear" w:color="auto" w:fill="FFFFFF"/>
        </w:rPr>
        <w:t xml:space="preserve">with </w:t>
      </w:r>
      <w:r w:rsidR="000B3EB4">
        <w:rPr>
          <w:rFonts w:cs="Times New Roman"/>
          <w:color w:val="000000"/>
          <w:shd w:val="clear" w:color="auto" w:fill="FFFFFF"/>
        </w:rPr>
        <w:t xml:space="preserve">which she was compensated. The Court must consider intangible benefits such as publicity and further work opportunities when evaluating the degree to which the two interpretations meet Congress’s intention of fairness and the promotion of the arts. </w:t>
      </w:r>
      <w:r w:rsidR="00B20624">
        <w:rPr>
          <w:rFonts w:cs="Times New Roman"/>
          <w:color w:val="000000"/>
          <w:shd w:val="clear" w:color="auto" w:fill="FFFFFF"/>
        </w:rPr>
        <w:t>Plaintiff’s</w:t>
      </w:r>
      <w:r w:rsidR="000B3EB4">
        <w:rPr>
          <w:rFonts w:cs="Times New Roman"/>
          <w:color w:val="000000"/>
          <w:shd w:val="clear" w:color="auto" w:fill="FFFFFF"/>
        </w:rPr>
        <w:t xml:space="preserve"> interpretation creates an incentive for employers and commissioners to attach work-made-for-hire agreements to all their contracts, stifling distribution of creative works and undercutting the </w:t>
      </w:r>
      <w:r w:rsidR="000B3EB4">
        <w:rPr>
          <w:rFonts w:cs="Times New Roman"/>
          <w:color w:val="000000"/>
          <w:shd w:val="clear" w:color="auto" w:fill="FFFFFF"/>
        </w:rPr>
        <w:lastRenderedPageBreak/>
        <w:t>bargaining power of independent contractors.</w:t>
      </w:r>
      <w:r w:rsidR="0069740B">
        <w:rPr>
          <w:rFonts w:cs="Times New Roman"/>
          <w:color w:val="000000"/>
          <w:shd w:val="clear" w:color="auto" w:fill="FFFFFF"/>
        </w:rPr>
        <w:t xml:space="preserve"> Because this case of first impression requires a precedent that will allow future cases to be decided justly and consistently, the Court should adopt a bright-line temporal standard and dismiss Plaintiff’s case.</w:t>
      </w:r>
    </w:p>
    <w:p w14:paraId="1C2A7356" w14:textId="77777777" w:rsidR="000B3EB4" w:rsidRDefault="000B3EB4" w:rsidP="00C9101F">
      <w:pPr>
        <w:spacing w:after="0" w:line="480" w:lineRule="auto"/>
        <w:rPr>
          <w:rFonts w:cs="Times New Roman"/>
          <w:color w:val="000000"/>
          <w:shd w:val="clear" w:color="auto" w:fill="FFFFFF"/>
        </w:rPr>
      </w:pPr>
    </w:p>
    <w:p w14:paraId="23976C1B" w14:textId="77777777" w:rsidR="000B3EB4" w:rsidRPr="000B3EB4" w:rsidRDefault="000B3EB4" w:rsidP="000B3EB4">
      <w:pPr>
        <w:spacing w:line="240" w:lineRule="exact"/>
        <w:ind w:left="4680" w:hanging="4680"/>
        <w:rPr>
          <w:rFonts w:cs="Times New Roman"/>
          <w:szCs w:val="26"/>
        </w:rPr>
      </w:pPr>
      <w:r w:rsidRPr="000B3EB4">
        <w:rPr>
          <w:rFonts w:cs="Times New Roman"/>
          <w:szCs w:val="26"/>
        </w:rPr>
        <w:t>Dated:  </w:t>
      </w:r>
      <w:r w:rsidR="0069740B">
        <w:rPr>
          <w:rFonts w:cs="Times New Roman"/>
          <w:szCs w:val="26"/>
        </w:rPr>
        <w:t>March</w:t>
      </w:r>
      <w:r w:rsidRPr="000B3EB4">
        <w:rPr>
          <w:rFonts w:cs="Times New Roman"/>
          <w:szCs w:val="26"/>
        </w:rPr>
        <w:t> 2</w:t>
      </w:r>
      <w:r w:rsidR="0069740B">
        <w:rPr>
          <w:rFonts w:cs="Times New Roman"/>
          <w:szCs w:val="26"/>
        </w:rPr>
        <w:t>1</w:t>
      </w:r>
      <w:r w:rsidRPr="000B3EB4">
        <w:rPr>
          <w:rFonts w:cs="Times New Roman"/>
          <w:szCs w:val="26"/>
        </w:rPr>
        <w:t>, 2012</w:t>
      </w:r>
      <w:r w:rsidRPr="000B3EB4">
        <w:rPr>
          <w:rFonts w:cs="Times New Roman"/>
          <w:szCs w:val="26"/>
        </w:rPr>
        <w:tab/>
        <w:t xml:space="preserve">OFFICE OF </w:t>
      </w:r>
      <w:r w:rsidR="00DD5C65">
        <w:rPr>
          <w:rFonts w:eastAsia="Times New Roman" w:cs="Times New Roman"/>
          <w:szCs w:val="24"/>
        </w:rPr>
        <w:t>&lt;redacted&gt;&lt;/redacted&gt;</w:t>
      </w:r>
      <w:bookmarkStart w:id="0" w:name="_GoBack"/>
      <w:bookmarkEnd w:id="0"/>
    </w:p>
    <w:p w14:paraId="031B14B0" w14:textId="77777777" w:rsidR="000B3EB4" w:rsidRPr="000B3EB4" w:rsidRDefault="000B3EB4" w:rsidP="000B3EB4">
      <w:pPr>
        <w:spacing w:line="240" w:lineRule="exact"/>
        <w:ind w:left="4680"/>
        <w:rPr>
          <w:rFonts w:cs="Times New Roman"/>
          <w:szCs w:val="26"/>
        </w:rPr>
      </w:pPr>
    </w:p>
    <w:p w14:paraId="40F5655A" w14:textId="77777777" w:rsidR="000B3EB4" w:rsidRPr="000B3EB4" w:rsidRDefault="00DD5C65" w:rsidP="006F2C53">
      <w:pPr>
        <w:spacing w:after="0" w:line="240" w:lineRule="auto"/>
        <w:ind w:left="4680"/>
        <w:rPr>
          <w:rFonts w:cs="Times New Roman"/>
          <w:szCs w:val="26"/>
        </w:rPr>
      </w:pPr>
      <w:r>
        <w:rPr>
          <w:rFonts w:eastAsia="Times New Roman" w:cs="Times New Roman"/>
          <w:szCs w:val="24"/>
        </w:rPr>
        <w:t>&lt;redacted&gt;&lt;/redacted&gt;</w:t>
      </w:r>
    </w:p>
    <w:p w14:paraId="213DF721" w14:textId="77777777" w:rsidR="000B3EB4" w:rsidRPr="000B3EB4" w:rsidRDefault="000B3EB4" w:rsidP="006F2C53">
      <w:pPr>
        <w:spacing w:after="0" w:line="240" w:lineRule="auto"/>
        <w:ind w:left="4680"/>
        <w:rPr>
          <w:rFonts w:cs="Times New Roman"/>
          <w:szCs w:val="26"/>
        </w:rPr>
      </w:pPr>
      <w:r w:rsidRPr="000B3EB4">
        <w:rPr>
          <w:rFonts w:cs="Times New Roman"/>
          <w:szCs w:val="26"/>
        </w:rPr>
        <w:t>ATTORNEY FOR DEFENDANTS</w:t>
      </w:r>
    </w:p>
    <w:p w14:paraId="613E77C4" w14:textId="77777777" w:rsidR="000B3EB4" w:rsidRPr="000B3EB4" w:rsidRDefault="00DD5C65" w:rsidP="006F2C53">
      <w:pPr>
        <w:spacing w:after="0" w:line="240" w:lineRule="auto"/>
        <w:rPr>
          <w:rFonts w:cs="Times New Roman"/>
        </w:rPr>
      </w:pPr>
      <w:r>
        <w:rPr>
          <w:rFonts w:eastAsia="Times New Roman" w:cs="Times New Roman"/>
          <w:szCs w:val="24"/>
        </w:rPr>
        <w:t>&lt;redacted&gt;&lt;/redacted&gt;</w:t>
      </w:r>
    </w:p>
    <w:p w14:paraId="34857EAF" w14:textId="77777777" w:rsidR="000B3EB4" w:rsidRPr="00C9101F" w:rsidRDefault="000B3EB4" w:rsidP="00C9101F">
      <w:pPr>
        <w:spacing w:after="0" w:line="480" w:lineRule="auto"/>
        <w:rPr>
          <w:rFonts w:cs="Times New Roman"/>
          <w:color w:val="000000"/>
          <w:shd w:val="clear" w:color="auto" w:fill="FFFFFF"/>
        </w:rPr>
      </w:pPr>
    </w:p>
    <w:sectPr w:rsidR="000B3EB4" w:rsidRPr="00C9101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AC31F" w14:textId="77777777" w:rsidR="00E06350" w:rsidRDefault="00B20624">
      <w:pPr>
        <w:spacing w:after="0" w:line="240" w:lineRule="auto"/>
      </w:pPr>
      <w:r>
        <w:separator/>
      </w:r>
    </w:p>
  </w:endnote>
  <w:endnote w:type="continuationSeparator" w:id="0">
    <w:p w14:paraId="36E18F9D" w14:textId="77777777" w:rsidR="00E06350" w:rsidRDefault="00B20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51688"/>
      <w:docPartObj>
        <w:docPartGallery w:val="Page Numbers (Bottom of Page)"/>
        <w:docPartUnique/>
      </w:docPartObj>
    </w:sdtPr>
    <w:sdtEndPr>
      <w:rPr>
        <w:rFonts w:ascii="Times New Roman" w:hAnsi="Times New Roman" w:cs="Times New Roman"/>
        <w:noProof/>
        <w:sz w:val="24"/>
        <w:szCs w:val="24"/>
      </w:rPr>
    </w:sdtEndPr>
    <w:sdtContent>
      <w:p w14:paraId="71103D93" w14:textId="77777777" w:rsidR="00EF3DB7" w:rsidRDefault="00EF3DB7">
        <w:pPr>
          <w:pStyle w:val="Footer"/>
          <w:jc w:val="center"/>
        </w:pPr>
      </w:p>
      <w:p w14:paraId="17172751" w14:textId="77777777" w:rsidR="00EF3DB7" w:rsidRPr="00A74462" w:rsidRDefault="00EF3DB7">
        <w:pPr>
          <w:pStyle w:val="Footer"/>
          <w:jc w:val="center"/>
          <w:rPr>
            <w:rFonts w:ascii="Times New Roman" w:hAnsi="Times New Roman" w:cs="Times New Roman"/>
            <w:sz w:val="24"/>
            <w:szCs w:val="24"/>
          </w:rPr>
        </w:pPr>
        <w:r w:rsidRPr="00A74462">
          <w:rPr>
            <w:rFonts w:ascii="Times New Roman" w:hAnsi="Times New Roman" w:cs="Times New Roman"/>
            <w:sz w:val="24"/>
            <w:szCs w:val="24"/>
          </w:rPr>
          <w:fldChar w:fldCharType="begin"/>
        </w:r>
        <w:r w:rsidRPr="00A74462">
          <w:rPr>
            <w:rFonts w:ascii="Times New Roman" w:hAnsi="Times New Roman" w:cs="Times New Roman"/>
            <w:sz w:val="24"/>
            <w:szCs w:val="24"/>
          </w:rPr>
          <w:instrText xml:space="preserve"> PAGE   \* MERGEFORMAT </w:instrText>
        </w:r>
        <w:r w:rsidRPr="00A74462">
          <w:rPr>
            <w:rFonts w:ascii="Times New Roman" w:hAnsi="Times New Roman" w:cs="Times New Roman"/>
            <w:sz w:val="24"/>
            <w:szCs w:val="24"/>
          </w:rPr>
          <w:fldChar w:fldCharType="separate"/>
        </w:r>
        <w:r w:rsidR="00DD5C65">
          <w:rPr>
            <w:rFonts w:ascii="Times New Roman" w:hAnsi="Times New Roman" w:cs="Times New Roman"/>
            <w:noProof/>
            <w:sz w:val="24"/>
            <w:szCs w:val="24"/>
          </w:rPr>
          <w:t>1</w:t>
        </w:r>
        <w:r w:rsidRPr="00A74462">
          <w:rPr>
            <w:rFonts w:ascii="Times New Roman" w:hAnsi="Times New Roman" w:cs="Times New Roman"/>
            <w:noProof/>
            <w:sz w:val="24"/>
            <w:szCs w:val="24"/>
          </w:rPr>
          <w:fldChar w:fldCharType="end"/>
        </w:r>
      </w:p>
    </w:sdtContent>
  </w:sdt>
  <w:p w14:paraId="6E4C0C17" w14:textId="77777777" w:rsidR="00EF3DB7" w:rsidRDefault="00EF3DB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9C94F" w14:textId="77777777" w:rsidR="00E06350" w:rsidRDefault="00B20624">
      <w:pPr>
        <w:spacing w:after="0" w:line="240" w:lineRule="auto"/>
      </w:pPr>
      <w:r>
        <w:separator/>
      </w:r>
    </w:p>
  </w:footnote>
  <w:footnote w:type="continuationSeparator" w:id="0">
    <w:p w14:paraId="1CD6949D" w14:textId="77777777" w:rsidR="00E06350" w:rsidRDefault="00B2062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014E9" w14:textId="77777777" w:rsidR="00EF3DB7" w:rsidRDefault="00EF3DB7" w:rsidP="00EF3DB7">
    <w:pPr>
      <w:pStyle w:val="Header"/>
    </w:pPr>
  </w:p>
  <w:p w14:paraId="200F08EF" w14:textId="77777777" w:rsidR="00EF3DB7" w:rsidRDefault="00EF3DB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A5569"/>
    <w:multiLevelType w:val="hybridMultilevel"/>
    <w:tmpl w:val="94E0C212"/>
    <w:lvl w:ilvl="0" w:tplc="669CCE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AE4392"/>
    <w:multiLevelType w:val="hybridMultilevel"/>
    <w:tmpl w:val="B4709AE0"/>
    <w:lvl w:ilvl="0" w:tplc="081206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EF300B"/>
    <w:multiLevelType w:val="hybridMultilevel"/>
    <w:tmpl w:val="7AE894C2"/>
    <w:lvl w:ilvl="0" w:tplc="0AF82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BA3C96"/>
    <w:rsid w:val="000550A1"/>
    <w:rsid w:val="00070857"/>
    <w:rsid w:val="00091E2B"/>
    <w:rsid w:val="000B3EB4"/>
    <w:rsid w:val="000B410B"/>
    <w:rsid w:val="000C7165"/>
    <w:rsid w:val="000D21CF"/>
    <w:rsid w:val="00117A7E"/>
    <w:rsid w:val="00134D4F"/>
    <w:rsid w:val="00164DA7"/>
    <w:rsid w:val="00165387"/>
    <w:rsid w:val="00174941"/>
    <w:rsid w:val="0018795A"/>
    <w:rsid w:val="00196850"/>
    <w:rsid w:val="001A0B66"/>
    <w:rsid w:val="001D0219"/>
    <w:rsid w:val="001F5534"/>
    <w:rsid w:val="00200D15"/>
    <w:rsid w:val="002147EC"/>
    <w:rsid w:val="00261217"/>
    <w:rsid w:val="002B2CE3"/>
    <w:rsid w:val="00356142"/>
    <w:rsid w:val="0037273A"/>
    <w:rsid w:val="003813B2"/>
    <w:rsid w:val="00382112"/>
    <w:rsid w:val="003A651C"/>
    <w:rsid w:val="003C0EC1"/>
    <w:rsid w:val="003E039C"/>
    <w:rsid w:val="003E189D"/>
    <w:rsid w:val="0043291C"/>
    <w:rsid w:val="004403E4"/>
    <w:rsid w:val="00475658"/>
    <w:rsid w:val="004922A6"/>
    <w:rsid w:val="004924D9"/>
    <w:rsid w:val="004D3021"/>
    <w:rsid w:val="00505BEE"/>
    <w:rsid w:val="00540B64"/>
    <w:rsid w:val="00545577"/>
    <w:rsid w:val="00603371"/>
    <w:rsid w:val="00613C8A"/>
    <w:rsid w:val="006150B8"/>
    <w:rsid w:val="006364C6"/>
    <w:rsid w:val="006430A8"/>
    <w:rsid w:val="0066740B"/>
    <w:rsid w:val="00674266"/>
    <w:rsid w:val="00676240"/>
    <w:rsid w:val="0069351F"/>
    <w:rsid w:val="0069740B"/>
    <w:rsid w:val="006A7DF4"/>
    <w:rsid w:val="006C70A5"/>
    <w:rsid w:val="006D780E"/>
    <w:rsid w:val="006F2C53"/>
    <w:rsid w:val="006F3F8F"/>
    <w:rsid w:val="0072522B"/>
    <w:rsid w:val="007370A5"/>
    <w:rsid w:val="007742F9"/>
    <w:rsid w:val="007C1994"/>
    <w:rsid w:val="007C6F97"/>
    <w:rsid w:val="00843E24"/>
    <w:rsid w:val="00853798"/>
    <w:rsid w:val="008C15E7"/>
    <w:rsid w:val="008C4882"/>
    <w:rsid w:val="00903961"/>
    <w:rsid w:val="00921DF9"/>
    <w:rsid w:val="00927443"/>
    <w:rsid w:val="0092794F"/>
    <w:rsid w:val="0094380B"/>
    <w:rsid w:val="009B6D59"/>
    <w:rsid w:val="009D62A4"/>
    <w:rsid w:val="00A65FB7"/>
    <w:rsid w:val="00A97437"/>
    <w:rsid w:val="00AD48CC"/>
    <w:rsid w:val="00B17B26"/>
    <w:rsid w:val="00B20624"/>
    <w:rsid w:val="00BA3664"/>
    <w:rsid w:val="00BA3C96"/>
    <w:rsid w:val="00BB0959"/>
    <w:rsid w:val="00BF1331"/>
    <w:rsid w:val="00C35E53"/>
    <w:rsid w:val="00C62206"/>
    <w:rsid w:val="00C70A2C"/>
    <w:rsid w:val="00C7523F"/>
    <w:rsid w:val="00C9101F"/>
    <w:rsid w:val="00CF34F5"/>
    <w:rsid w:val="00D23097"/>
    <w:rsid w:val="00D34B6A"/>
    <w:rsid w:val="00D52A9C"/>
    <w:rsid w:val="00DC47D0"/>
    <w:rsid w:val="00DD5C65"/>
    <w:rsid w:val="00DF2674"/>
    <w:rsid w:val="00DF68DE"/>
    <w:rsid w:val="00E06350"/>
    <w:rsid w:val="00E20E7F"/>
    <w:rsid w:val="00E43C5E"/>
    <w:rsid w:val="00E47252"/>
    <w:rsid w:val="00E62943"/>
    <w:rsid w:val="00E952DD"/>
    <w:rsid w:val="00ED6707"/>
    <w:rsid w:val="00EE49CE"/>
    <w:rsid w:val="00EF3DB7"/>
    <w:rsid w:val="00EF6DAD"/>
    <w:rsid w:val="00F0616F"/>
    <w:rsid w:val="00F85418"/>
    <w:rsid w:val="00F95FC2"/>
    <w:rsid w:val="00FA6E7E"/>
    <w:rsid w:val="00FB212F"/>
    <w:rsid w:val="00FE07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B87E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
    <w:name w:val="Light Shading"/>
    <w:basedOn w:val="TableNormal"/>
    <w:uiPriority w:val="60"/>
    <w:rsid w:val="00921DF9"/>
    <w:pPr>
      <w:spacing w:after="0" w:line="240" w:lineRule="auto"/>
    </w:pPr>
    <w:rPr>
      <w:rFonts w:asciiTheme="minorHAnsi" w:hAnsiTheme="minorHAnsi"/>
      <w:color w:val="000000" w:themeColor="text1" w:themeShade="BF"/>
      <w:sz w:val="22"/>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921DF9"/>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921DF9"/>
    <w:rPr>
      <w:rFonts w:asciiTheme="minorHAnsi" w:hAnsiTheme="minorHAnsi"/>
      <w:sz w:val="22"/>
    </w:rPr>
  </w:style>
  <w:style w:type="paragraph" w:styleId="Footer">
    <w:name w:val="footer"/>
    <w:basedOn w:val="Normal"/>
    <w:link w:val="FooterChar"/>
    <w:uiPriority w:val="99"/>
    <w:unhideWhenUsed/>
    <w:rsid w:val="00921DF9"/>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921DF9"/>
    <w:rPr>
      <w:rFonts w:asciiTheme="minorHAnsi" w:hAnsiTheme="minorHAnsi"/>
      <w:sz w:val="22"/>
    </w:rPr>
  </w:style>
  <w:style w:type="character" w:customStyle="1" w:styleId="apple-converted-space">
    <w:name w:val="apple-converted-space"/>
    <w:basedOn w:val="DefaultParagraphFont"/>
    <w:rsid w:val="0037273A"/>
  </w:style>
  <w:style w:type="character" w:styleId="Hyperlink">
    <w:name w:val="Hyperlink"/>
    <w:basedOn w:val="DefaultParagraphFont"/>
    <w:uiPriority w:val="99"/>
    <w:semiHidden/>
    <w:unhideWhenUsed/>
    <w:rsid w:val="0037273A"/>
    <w:rPr>
      <w:color w:val="0000FF"/>
      <w:u w:val="single"/>
    </w:rPr>
  </w:style>
  <w:style w:type="paragraph" w:styleId="ListParagraph">
    <w:name w:val="List Paragraph"/>
    <w:basedOn w:val="Normal"/>
    <w:uiPriority w:val="34"/>
    <w:qFormat/>
    <w:rsid w:val="007C1994"/>
    <w:pPr>
      <w:ind w:left="720"/>
      <w:contextualSpacing/>
    </w:pPr>
  </w:style>
  <w:style w:type="character" w:styleId="Strong">
    <w:name w:val="Strong"/>
    <w:basedOn w:val="DefaultParagraphFont"/>
    <w:uiPriority w:val="22"/>
    <w:qFormat/>
    <w:rsid w:val="007C1994"/>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
    <w:name w:val="Light Shading"/>
    <w:basedOn w:val="TableNormal"/>
    <w:uiPriority w:val="60"/>
    <w:rsid w:val="00921DF9"/>
    <w:pPr>
      <w:spacing w:after="0" w:line="240" w:lineRule="auto"/>
    </w:pPr>
    <w:rPr>
      <w:rFonts w:asciiTheme="minorHAnsi" w:hAnsiTheme="minorHAnsi"/>
      <w:color w:val="000000" w:themeColor="text1" w:themeShade="BF"/>
      <w:sz w:val="22"/>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921DF9"/>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921DF9"/>
    <w:rPr>
      <w:rFonts w:asciiTheme="minorHAnsi" w:hAnsiTheme="minorHAnsi"/>
      <w:sz w:val="22"/>
    </w:rPr>
  </w:style>
  <w:style w:type="paragraph" w:styleId="Footer">
    <w:name w:val="footer"/>
    <w:basedOn w:val="Normal"/>
    <w:link w:val="FooterChar"/>
    <w:uiPriority w:val="99"/>
    <w:unhideWhenUsed/>
    <w:rsid w:val="00921DF9"/>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921DF9"/>
    <w:rPr>
      <w:rFonts w:asciiTheme="minorHAnsi" w:hAnsiTheme="minorHAnsi"/>
      <w:sz w:val="22"/>
    </w:rPr>
  </w:style>
  <w:style w:type="character" w:customStyle="1" w:styleId="apple-converted-space">
    <w:name w:val="apple-converted-space"/>
    <w:basedOn w:val="DefaultParagraphFont"/>
    <w:rsid w:val="0037273A"/>
  </w:style>
  <w:style w:type="character" w:styleId="Hyperlink">
    <w:name w:val="Hyperlink"/>
    <w:basedOn w:val="DefaultParagraphFont"/>
    <w:uiPriority w:val="99"/>
    <w:semiHidden/>
    <w:unhideWhenUsed/>
    <w:rsid w:val="0037273A"/>
    <w:rPr>
      <w:color w:val="0000FF"/>
      <w:u w:val="single"/>
    </w:rPr>
  </w:style>
  <w:style w:type="paragraph" w:styleId="ListParagraph">
    <w:name w:val="List Paragraph"/>
    <w:basedOn w:val="Normal"/>
    <w:uiPriority w:val="34"/>
    <w:qFormat/>
    <w:rsid w:val="007C1994"/>
    <w:pPr>
      <w:ind w:left="720"/>
      <w:contextualSpacing/>
    </w:pPr>
  </w:style>
  <w:style w:type="character" w:styleId="Strong">
    <w:name w:val="Strong"/>
    <w:basedOn w:val="DefaultParagraphFont"/>
    <w:uiPriority w:val="22"/>
    <w:qFormat/>
    <w:rsid w:val="007C19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867680">
      <w:bodyDiv w:val="1"/>
      <w:marLeft w:val="0"/>
      <w:marRight w:val="0"/>
      <w:marTop w:val="0"/>
      <w:marBottom w:val="0"/>
      <w:divBdr>
        <w:top w:val="none" w:sz="0" w:space="0" w:color="auto"/>
        <w:left w:val="none" w:sz="0" w:space="0" w:color="auto"/>
        <w:bottom w:val="none" w:sz="0" w:space="0" w:color="auto"/>
        <w:right w:val="none" w:sz="0" w:space="0" w:color="auto"/>
      </w:divBdr>
      <w:divsChild>
        <w:div w:id="576668724">
          <w:marLeft w:val="0"/>
          <w:marRight w:val="0"/>
          <w:marTop w:val="0"/>
          <w:marBottom w:val="0"/>
          <w:divBdr>
            <w:top w:val="none" w:sz="0" w:space="0" w:color="auto"/>
            <w:left w:val="none" w:sz="0" w:space="0" w:color="auto"/>
            <w:bottom w:val="none" w:sz="0" w:space="0" w:color="auto"/>
            <w:right w:val="none" w:sz="0" w:space="0" w:color="auto"/>
          </w:divBdr>
          <w:divsChild>
            <w:div w:id="327176110">
              <w:marLeft w:val="0"/>
              <w:marRight w:val="0"/>
              <w:marTop w:val="240"/>
              <w:marBottom w:val="0"/>
              <w:divBdr>
                <w:top w:val="none" w:sz="0" w:space="0" w:color="auto"/>
                <w:left w:val="none" w:sz="0" w:space="0" w:color="auto"/>
                <w:bottom w:val="none" w:sz="0" w:space="0" w:color="auto"/>
                <w:right w:val="none" w:sz="0" w:space="0" w:color="auto"/>
              </w:divBdr>
              <w:divsChild>
                <w:div w:id="1952593714">
                  <w:marLeft w:val="0"/>
                  <w:marRight w:val="0"/>
                  <w:marTop w:val="0"/>
                  <w:marBottom w:val="0"/>
                  <w:divBdr>
                    <w:top w:val="none" w:sz="0" w:space="0" w:color="auto"/>
                    <w:left w:val="none" w:sz="0" w:space="0" w:color="auto"/>
                    <w:bottom w:val="none" w:sz="0" w:space="0" w:color="auto"/>
                    <w:right w:val="none" w:sz="0" w:space="0" w:color="auto"/>
                  </w:divBdr>
                </w:div>
              </w:divsChild>
            </w:div>
            <w:div w:id="1559709855">
              <w:marLeft w:val="0"/>
              <w:marRight w:val="0"/>
              <w:marTop w:val="0"/>
              <w:marBottom w:val="0"/>
              <w:divBdr>
                <w:top w:val="none" w:sz="0" w:space="0" w:color="auto"/>
                <w:left w:val="none" w:sz="0" w:space="0" w:color="auto"/>
                <w:bottom w:val="none" w:sz="0" w:space="0" w:color="auto"/>
                <w:right w:val="none" w:sz="0" w:space="0" w:color="auto"/>
              </w:divBdr>
            </w:div>
            <w:div w:id="2058773937">
              <w:marLeft w:val="0"/>
              <w:marRight w:val="0"/>
              <w:marTop w:val="240"/>
              <w:marBottom w:val="0"/>
              <w:divBdr>
                <w:top w:val="none" w:sz="0" w:space="0" w:color="auto"/>
                <w:left w:val="none" w:sz="0" w:space="0" w:color="auto"/>
                <w:bottom w:val="none" w:sz="0" w:space="0" w:color="auto"/>
                <w:right w:val="none" w:sz="0" w:space="0" w:color="auto"/>
              </w:divBdr>
              <w:divsChild>
                <w:div w:id="1998220622">
                  <w:marLeft w:val="0"/>
                  <w:marRight w:val="0"/>
                  <w:marTop w:val="0"/>
                  <w:marBottom w:val="0"/>
                  <w:divBdr>
                    <w:top w:val="none" w:sz="0" w:space="0" w:color="auto"/>
                    <w:left w:val="none" w:sz="0" w:space="0" w:color="auto"/>
                    <w:bottom w:val="none" w:sz="0" w:space="0" w:color="auto"/>
                    <w:right w:val="none" w:sz="0" w:space="0" w:color="auto"/>
                  </w:divBdr>
                </w:div>
              </w:divsChild>
            </w:div>
            <w:div w:id="2135631741">
              <w:marLeft w:val="0"/>
              <w:marRight w:val="0"/>
              <w:marTop w:val="0"/>
              <w:marBottom w:val="0"/>
              <w:divBdr>
                <w:top w:val="none" w:sz="0" w:space="0" w:color="auto"/>
                <w:left w:val="none" w:sz="0" w:space="0" w:color="auto"/>
                <w:bottom w:val="none" w:sz="0" w:space="0" w:color="auto"/>
                <w:right w:val="none" w:sz="0" w:space="0" w:color="auto"/>
              </w:divBdr>
              <w:divsChild>
                <w:div w:id="207442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044524">
      <w:bodyDiv w:val="1"/>
      <w:marLeft w:val="0"/>
      <w:marRight w:val="0"/>
      <w:marTop w:val="0"/>
      <w:marBottom w:val="0"/>
      <w:divBdr>
        <w:top w:val="none" w:sz="0" w:space="0" w:color="auto"/>
        <w:left w:val="none" w:sz="0" w:space="0" w:color="auto"/>
        <w:bottom w:val="none" w:sz="0" w:space="0" w:color="auto"/>
        <w:right w:val="none" w:sz="0" w:space="0" w:color="auto"/>
      </w:divBdr>
      <w:divsChild>
        <w:div w:id="674304056">
          <w:marLeft w:val="0"/>
          <w:marRight w:val="0"/>
          <w:marTop w:val="0"/>
          <w:marBottom w:val="0"/>
          <w:divBdr>
            <w:top w:val="none" w:sz="0" w:space="0" w:color="auto"/>
            <w:left w:val="none" w:sz="0" w:space="0" w:color="auto"/>
            <w:bottom w:val="none" w:sz="0" w:space="0" w:color="auto"/>
            <w:right w:val="none" w:sz="0" w:space="0" w:color="auto"/>
          </w:divBdr>
          <w:divsChild>
            <w:div w:id="496271226">
              <w:marLeft w:val="0"/>
              <w:marRight w:val="0"/>
              <w:marTop w:val="0"/>
              <w:marBottom w:val="0"/>
              <w:divBdr>
                <w:top w:val="none" w:sz="0" w:space="0" w:color="auto"/>
                <w:left w:val="none" w:sz="0" w:space="0" w:color="auto"/>
                <w:bottom w:val="none" w:sz="0" w:space="0" w:color="auto"/>
                <w:right w:val="none" w:sz="0" w:space="0" w:color="auto"/>
              </w:divBdr>
            </w:div>
            <w:div w:id="1829247762">
              <w:marLeft w:val="0"/>
              <w:marRight w:val="0"/>
              <w:marTop w:val="240"/>
              <w:marBottom w:val="0"/>
              <w:divBdr>
                <w:top w:val="none" w:sz="0" w:space="0" w:color="auto"/>
                <w:left w:val="none" w:sz="0" w:space="0" w:color="auto"/>
                <w:bottom w:val="none" w:sz="0" w:space="0" w:color="auto"/>
                <w:right w:val="none" w:sz="0" w:space="0" w:color="auto"/>
              </w:divBdr>
              <w:divsChild>
                <w:div w:id="2124417524">
                  <w:marLeft w:val="0"/>
                  <w:marRight w:val="0"/>
                  <w:marTop w:val="0"/>
                  <w:marBottom w:val="0"/>
                  <w:divBdr>
                    <w:top w:val="none" w:sz="0" w:space="0" w:color="auto"/>
                    <w:left w:val="none" w:sz="0" w:space="0" w:color="auto"/>
                    <w:bottom w:val="none" w:sz="0" w:space="0" w:color="auto"/>
                    <w:right w:val="none" w:sz="0" w:space="0" w:color="auto"/>
                  </w:divBdr>
                </w:div>
              </w:divsChild>
            </w:div>
            <w:div w:id="1937056610">
              <w:marLeft w:val="0"/>
              <w:marRight w:val="0"/>
              <w:marTop w:val="240"/>
              <w:marBottom w:val="0"/>
              <w:divBdr>
                <w:top w:val="none" w:sz="0" w:space="0" w:color="auto"/>
                <w:left w:val="none" w:sz="0" w:space="0" w:color="auto"/>
                <w:bottom w:val="none" w:sz="0" w:space="0" w:color="auto"/>
                <w:right w:val="none" w:sz="0" w:space="0" w:color="auto"/>
              </w:divBdr>
              <w:divsChild>
                <w:div w:id="1528132455">
                  <w:marLeft w:val="0"/>
                  <w:marRight w:val="0"/>
                  <w:marTop w:val="0"/>
                  <w:marBottom w:val="0"/>
                  <w:divBdr>
                    <w:top w:val="none" w:sz="0" w:space="0" w:color="auto"/>
                    <w:left w:val="none" w:sz="0" w:space="0" w:color="auto"/>
                    <w:bottom w:val="none" w:sz="0" w:space="0" w:color="auto"/>
                    <w:right w:val="none" w:sz="0" w:space="0" w:color="auto"/>
                  </w:divBdr>
                </w:div>
              </w:divsChild>
            </w:div>
            <w:div w:id="2086148527">
              <w:marLeft w:val="0"/>
              <w:marRight w:val="0"/>
              <w:marTop w:val="0"/>
              <w:marBottom w:val="0"/>
              <w:divBdr>
                <w:top w:val="none" w:sz="0" w:space="0" w:color="auto"/>
                <w:left w:val="none" w:sz="0" w:space="0" w:color="auto"/>
                <w:bottom w:val="none" w:sz="0" w:space="0" w:color="auto"/>
                <w:right w:val="none" w:sz="0" w:space="0" w:color="auto"/>
              </w:divBdr>
              <w:divsChild>
                <w:div w:id="57543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286772">
      <w:bodyDiv w:val="1"/>
      <w:marLeft w:val="0"/>
      <w:marRight w:val="0"/>
      <w:marTop w:val="0"/>
      <w:marBottom w:val="0"/>
      <w:divBdr>
        <w:top w:val="none" w:sz="0" w:space="0" w:color="auto"/>
        <w:left w:val="none" w:sz="0" w:space="0" w:color="auto"/>
        <w:bottom w:val="none" w:sz="0" w:space="0" w:color="auto"/>
        <w:right w:val="none" w:sz="0" w:space="0" w:color="auto"/>
      </w:divBdr>
      <w:divsChild>
        <w:div w:id="131675882">
          <w:marLeft w:val="0"/>
          <w:marRight w:val="0"/>
          <w:marTop w:val="0"/>
          <w:marBottom w:val="0"/>
          <w:divBdr>
            <w:top w:val="none" w:sz="0" w:space="0" w:color="auto"/>
            <w:left w:val="none" w:sz="0" w:space="0" w:color="auto"/>
            <w:bottom w:val="none" w:sz="0" w:space="0" w:color="auto"/>
            <w:right w:val="none" w:sz="0" w:space="0" w:color="auto"/>
          </w:divBdr>
          <w:divsChild>
            <w:div w:id="10940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181749">
      <w:bodyDiv w:val="1"/>
      <w:marLeft w:val="0"/>
      <w:marRight w:val="0"/>
      <w:marTop w:val="0"/>
      <w:marBottom w:val="0"/>
      <w:divBdr>
        <w:top w:val="none" w:sz="0" w:space="0" w:color="auto"/>
        <w:left w:val="none" w:sz="0" w:space="0" w:color="auto"/>
        <w:bottom w:val="none" w:sz="0" w:space="0" w:color="auto"/>
        <w:right w:val="none" w:sz="0" w:space="0" w:color="auto"/>
      </w:divBdr>
      <w:divsChild>
        <w:div w:id="1262101025">
          <w:marLeft w:val="0"/>
          <w:marRight w:val="0"/>
          <w:marTop w:val="0"/>
          <w:marBottom w:val="0"/>
          <w:divBdr>
            <w:top w:val="none" w:sz="0" w:space="0" w:color="auto"/>
            <w:left w:val="none" w:sz="0" w:space="0" w:color="auto"/>
            <w:bottom w:val="none" w:sz="0" w:space="0" w:color="auto"/>
            <w:right w:val="none" w:sz="0" w:space="0" w:color="auto"/>
          </w:divBdr>
          <w:divsChild>
            <w:div w:id="910430923">
              <w:marLeft w:val="0"/>
              <w:marRight w:val="0"/>
              <w:marTop w:val="240"/>
              <w:marBottom w:val="0"/>
              <w:divBdr>
                <w:top w:val="none" w:sz="0" w:space="0" w:color="auto"/>
                <w:left w:val="none" w:sz="0" w:space="0" w:color="auto"/>
                <w:bottom w:val="none" w:sz="0" w:space="0" w:color="auto"/>
                <w:right w:val="none" w:sz="0" w:space="0" w:color="auto"/>
              </w:divBdr>
              <w:divsChild>
                <w:div w:id="247226957">
                  <w:marLeft w:val="0"/>
                  <w:marRight w:val="0"/>
                  <w:marTop w:val="0"/>
                  <w:marBottom w:val="0"/>
                  <w:divBdr>
                    <w:top w:val="none" w:sz="0" w:space="0" w:color="auto"/>
                    <w:left w:val="none" w:sz="0" w:space="0" w:color="auto"/>
                    <w:bottom w:val="none" w:sz="0" w:space="0" w:color="auto"/>
                    <w:right w:val="none" w:sz="0" w:space="0" w:color="auto"/>
                  </w:divBdr>
                </w:div>
              </w:divsChild>
            </w:div>
            <w:div w:id="1186793685">
              <w:marLeft w:val="0"/>
              <w:marRight w:val="0"/>
              <w:marTop w:val="0"/>
              <w:marBottom w:val="0"/>
              <w:divBdr>
                <w:top w:val="none" w:sz="0" w:space="0" w:color="auto"/>
                <w:left w:val="none" w:sz="0" w:space="0" w:color="auto"/>
                <w:bottom w:val="none" w:sz="0" w:space="0" w:color="auto"/>
                <w:right w:val="none" w:sz="0" w:space="0" w:color="auto"/>
              </w:divBdr>
            </w:div>
            <w:div w:id="1428891042">
              <w:marLeft w:val="0"/>
              <w:marRight w:val="0"/>
              <w:marTop w:val="240"/>
              <w:marBottom w:val="0"/>
              <w:divBdr>
                <w:top w:val="none" w:sz="0" w:space="0" w:color="auto"/>
                <w:left w:val="none" w:sz="0" w:space="0" w:color="auto"/>
                <w:bottom w:val="none" w:sz="0" w:space="0" w:color="auto"/>
                <w:right w:val="none" w:sz="0" w:space="0" w:color="auto"/>
              </w:divBdr>
              <w:divsChild>
                <w:div w:id="1913151697">
                  <w:marLeft w:val="0"/>
                  <w:marRight w:val="0"/>
                  <w:marTop w:val="0"/>
                  <w:marBottom w:val="0"/>
                  <w:divBdr>
                    <w:top w:val="none" w:sz="0" w:space="0" w:color="auto"/>
                    <w:left w:val="none" w:sz="0" w:space="0" w:color="auto"/>
                    <w:bottom w:val="none" w:sz="0" w:space="0" w:color="auto"/>
                    <w:right w:val="none" w:sz="0" w:space="0" w:color="auto"/>
                  </w:divBdr>
                </w:div>
              </w:divsChild>
            </w:div>
            <w:div w:id="2115981531">
              <w:marLeft w:val="0"/>
              <w:marRight w:val="0"/>
              <w:marTop w:val="0"/>
              <w:marBottom w:val="0"/>
              <w:divBdr>
                <w:top w:val="none" w:sz="0" w:space="0" w:color="auto"/>
                <w:left w:val="none" w:sz="0" w:space="0" w:color="auto"/>
                <w:bottom w:val="none" w:sz="0" w:space="0" w:color="auto"/>
                <w:right w:val="none" w:sz="0" w:space="0" w:color="auto"/>
              </w:divBdr>
              <w:divsChild>
                <w:div w:id="67819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81069">
      <w:bodyDiv w:val="1"/>
      <w:marLeft w:val="0"/>
      <w:marRight w:val="0"/>
      <w:marTop w:val="0"/>
      <w:marBottom w:val="0"/>
      <w:divBdr>
        <w:top w:val="none" w:sz="0" w:space="0" w:color="auto"/>
        <w:left w:val="none" w:sz="0" w:space="0" w:color="auto"/>
        <w:bottom w:val="none" w:sz="0" w:space="0" w:color="auto"/>
        <w:right w:val="none" w:sz="0" w:space="0" w:color="auto"/>
      </w:divBdr>
      <w:divsChild>
        <w:div w:id="1841653886">
          <w:marLeft w:val="0"/>
          <w:marRight w:val="0"/>
          <w:marTop w:val="0"/>
          <w:marBottom w:val="0"/>
          <w:divBdr>
            <w:top w:val="none" w:sz="0" w:space="0" w:color="auto"/>
            <w:left w:val="none" w:sz="0" w:space="0" w:color="auto"/>
            <w:bottom w:val="none" w:sz="0" w:space="0" w:color="auto"/>
            <w:right w:val="none" w:sz="0" w:space="0" w:color="auto"/>
          </w:divBdr>
          <w:divsChild>
            <w:div w:id="13857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376673">
      <w:bodyDiv w:val="1"/>
      <w:marLeft w:val="0"/>
      <w:marRight w:val="0"/>
      <w:marTop w:val="0"/>
      <w:marBottom w:val="0"/>
      <w:divBdr>
        <w:top w:val="none" w:sz="0" w:space="0" w:color="auto"/>
        <w:left w:val="none" w:sz="0" w:space="0" w:color="auto"/>
        <w:bottom w:val="none" w:sz="0" w:space="0" w:color="auto"/>
        <w:right w:val="none" w:sz="0" w:space="0" w:color="auto"/>
      </w:divBdr>
      <w:divsChild>
        <w:div w:id="1822312623">
          <w:marLeft w:val="0"/>
          <w:marRight w:val="0"/>
          <w:marTop w:val="0"/>
          <w:marBottom w:val="0"/>
          <w:divBdr>
            <w:top w:val="none" w:sz="0" w:space="0" w:color="auto"/>
            <w:left w:val="none" w:sz="0" w:space="0" w:color="auto"/>
            <w:bottom w:val="none" w:sz="0" w:space="0" w:color="auto"/>
            <w:right w:val="none" w:sz="0" w:space="0" w:color="auto"/>
          </w:divBdr>
          <w:divsChild>
            <w:div w:id="250503935">
              <w:marLeft w:val="0"/>
              <w:marRight w:val="0"/>
              <w:marTop w:val="0"/>
              <w:marBottom w:val="0"/>
              <w:divBdr>
                <w:top w:val="none" w:sz="0" w:space="0" w:color="auto"/>
                <w:left w:val="none" w:sz="0" w:space="0" w:color="auto"/>
                <w:bottom w:val="none" w:sz="0" w:space="0" w:color="auto"/>
                <w:right w:val="none" w:sz="0" w:space="0" w:color="auto"/>
              </w:divBdr>
            </w:div>
            <w:div w:id="481849363">
              <w:marLeft w:val="0"/>
              <w:marRight w:val="0"/>
              <w:marTop w:val="0"/>
              <w:marBottom w:val="0"/>
              <w:divBdr>
                <w:top w:val="none" w:sz="0" w:space="0" w:color="auto"/>
                <w:left w:val="none" w:sz="0" w:space="0" w:color="auto"/>
                <w:bottom w:val="none" w:sz="0" w:space="0" w:color="auto"/>
                <w:right w:val="none" w:sz="0" w:space="0" w:color="auto"/>
              </w:divBdr>
              <w:divsChild>
                <w:div w:id="1190412193">
                  <w:marLeft w:val="0"/>
                  <w:marRight w:val="0"/>
                  <w:marTop w:val="0"/>
                  <w:marBottom w:val="0"/>
                  <w:divBdr>
                    <w:top w:val="none" w:sz="0" w:space="0" w:color="auto"/>
                    <w:left w:val="none" w:sz="0" w:space="0" w:color="auto"/>
                    <w:bottom w:val="none" w:sz="0" w:space="0" w:color="auto"/>
                    <w:right w:val="none" w:sz="0" w:space="0" w:color="auto"/>
                  </w:divBdr>
                </w:div>
              </w:divsChild>
            </w:div>
            <w:div w:id="505217648">
              <w:marLeft w:val="0"/>
              <w:marRight w:val="0"/>
              <w:marTop w:val="240"/>
              <w:marBottom w:val="0"/>
              <w:divBdr>
                <w:top w:val="none" w:sz="0" w:space="0" w:color="auto"/>
                <w:left w:val="none" w:sz="0" w:space="0" w:color="auto"/>
                <w:bottom w:val="none" w:sz="0" w:space="0" w:color="auto"/>
                <w:right w:val="none" w:sz="0" w:space="0" w:color="auto"/>
              </w:divBdr>
              <w:divsChild>
                <w:div w:id="976182970">
                  <w:marLeft w:val="0"/>
                  <w:marRight w:val="0"/>
                  <w:marTop w:val="0"/>
                  <w:marBottom w:val="0"/>
                  <w:divBdr>
                    <w:top w:val="none" w:sz="0" w:space="0" w:color="auto"/>
                    <w:left w:val="none" w:sz="0" w:space="0" w:color="auto"/>
                    <w:bottom w:val="none" w:sz="0" w:space="0" w:color="auto"/>
                    <w:right w:val="none" w:sz="0" w:space="0" w:color="auto"/>
                  </w:divBdr>
                </w:div>
              </w:divsChild>
            </w:div>
            <w:div w:id="2114130733">
              <w:marLeft w:val="0"/>
              <w:marRight w:val="0"/>
              <w:marTop w:val="240"/>
              <w:marBottom w:val="0"/>
              <w:divBdr>
                <w:top w:val="none" w:sz="0" w:space="0" w:color="auto"/>
                <w:left w:val="none" w:sz="0" w:space="0" w:color="auto"/>
                <w:bottom w:val="none" w:sz="0" w:space="0" w:color="auto"/>
                <w:right w:val="none" w:sz="0" w:space="0" w:color="auto"/>
              </w:divBdr>
              <w:divsChild>
                <w:div w:id="79871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5C57D-499F-1E4F-9D36-B2C304A1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3485</Words>
  <Characters>18541</Characters>
  <Application>Microsoft Macintosh Word</Application>
  <DocSecurity>0</DocSecurity>
  <Lines>289</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21957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2012-04-18T15:07:00Z</dcterms:created>
  <dcterms:modified xsi:type="dcterms:W3CDTF">2012-06-02T13:39:00Z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3a4bcd91-e003-4167-80a7-56b176793f69</vt:lpwstr>
  </property>
</Properties>
</file>